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E998" w14:textId="38F081EE" w:rsidR="00092C63" w:rsidRDefault="00754F50">
      <w:pPr>
        <w:jc w:val="center"/>
        <w:rPr>
          <w:b/>
          <w:bCs/>
          <w:color w:val="7030A0"/>
        </w:rPr>
      </w:pPr>
      <w:bookmarkStart w:id="0" w:name="_Toc357771638"/>
      <w:bookmarkStart w:id="1" w:name="_Toc346793416"/>
      <w:bookmarkStart w:id="2" w:name="_Toc328122777"/>
      <w:r>
        <w:rPr>
          <w:b/>
          <w:bCs/>
          <w:noProof/>
          <w:color w:val="7030A0"/>
        </w:rPr>
        <mc:AlternateContent>
          <mc:Choice Requires="wps">
            <w:drawing>
              <wp:anchor distT="0" distB="0" distL="114300" distR="114300" simplePos="0" relativeHeight="251658240" behindDoc="0" locked="0" layoutInCell="1" allowOverlap="1" wp14:anchorId="0C50E999" wp14:editId="70134DFE">
                <wp:simplePos x="0" y="0"/>
                <wp:positionH relativeFrom="margin">
                  <wp:posOffset>-310515</wp:posOffset>
                </wp:positionH>
                <wp:positionV relativeFrom="paragraph">
                  <wp:posOffset>375285</wp:posOffset>
                </wp:positionV>
                <wp:extent cx="6922135" cy="1609725"/>
                <wp:effectExtent l="0" t="0" r="0" b="9525"/>
                <wp:wrapNone/>
                <wp:docPr id="1" name="Text Box 2"/>
                <wp:cNvGraphicFramePr/>
                <a:graphic xmlns:a="http://schemas.openxmlformats.org/drawingml/2006/main">
                  <a:graphicData uri="http://schemas.microsoft.com/office/word/2010/wordprocessingShape">
                    <wps:wsp>
                      <wps:cNvSpPr txBox="1"/>
                      <wps:spPr>
                        <a:xfrm>
                          <a:off x="0" y="0"/>
                          <a:ext cx="6922135" cy="1609725"/>
                        </a:xfrm>
                        <a:prstGeom prst="rect">
                          <a:avLst/>
                        </a:prstGeom>
                        <a:solidFill>
                          <a:srgbClr val="FFFFFF"/>
                        </a:solidFill>
                        <a:ln>
                          <a:noFill/>
                          <a:prstDash/>
                        </a:ln>
                      </wps:spPr>
                      <wps:txbx>
                        <w:txbxContent>
                          <w:p w14:paraId="0C50E9A3" w14:textId="155880C4" w:rsidR="00092C63" w:rsidRDefault="00D95AAF" w:rsidP="00D95AAF">
                            <w:pPr>
                              <w:spacing w:after="0" w:line="240" w:lineRule="auto"/>
                              <w:rPr>
                                <w:sz w:val="22"/>
                                <w:szCs w:val="22"/>
                              </w:rPr>
                            </w:pPr>
                            <w:r w:rsidRPr="00D95AAF">
                              <w:rPr>
                                <w:sz w:val="22"/>
                                <w:szCs w:val="22"/>
                              </w:rPr>
                              <w:t xml:space="preserve">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 </w:t>
                            </w:r>
                            <w:r w:rsidR="0032083A">
                              <w:rPr>
                                <w:sz w:val="22"/>
                                <w:szCs w:val="22"/>
                              </w:rPr>
                              <w:t>Our funding allocation will focus on three core areas:</w:t>
                            </w:r>
                          </w:p>
                          <w:p w14:paraId="0C50E9A4" w14:textId="77777777" w:rsidR="00092C63" w:rsidRDefault="0032083A" w:rsidP="00D95AAF">
                            <w:pPr>
                              <w:pStyle w:val="ListParagraph"/>
                              <w:numPr>
                                <w:ilvl w:val="0"/>
                                <w:numId w:val="11"/>
                              </w:numPr>
                              <w:spacing w:after="0" w:line="240" w:lineRule="auto"/>
                              <w:ind w:left="714" w:hanging="357"/>
                              <w:rPr>
                                <w:sz w:val="22"/>
                                <w:szCs w:val="22"/>
                              </w:rPr>
                            </w:pPr>
                            <w:r>
                              <w:rPr>
                                <w:sz w:val="22"/>
                                <w:szCs w:val="22"/>
                              </w:rPr>
                              <w:t>Teaching</w:t>
                            </w:r>
                          </w:p>
                          <w:p w14:paraId="0C50E9A5" w14:textId="77777777" w:rsidR="00092C63" w:rsidRDefault="0032083A" w:rsidP="00D95AAF">
                            <w:pPr>
                              <w:pStyle w:val="ListParagraph"/>
                              <w:numPr>
                                <w:ilvl w:val="0"/>
                                <w:numId w:val="11"/>
                              </w:numPr>
                              <w:spacing w:after="0" w:line="240" w:lineRule="auto"/>
                              <w:ind w:left="714" w:hanging="357"/>
                              <w:rPr>
                                <w:sz w:val="22"/>
                                <w:szCs w:val="22"/>
                              </w:rPr>
                            </w:pPr>
                            <w:r>
                              <w:rPr>
                                <w:sz w:val="22"/>
                                <w:szCs w:val="22"/>
                              </w:rPr>
                              <w:t>Targeted academic support</w:t>
                            </w:r>
                          </w:p>
                          <w:p w14:paraId="01390BF8" w14:textId="6F9A9AF5" w:rsidR="00754F50" w:rsidRPr="00754F50" w:rsidRDefault="0032083A" w:rsidP="00754F50">
                            <w:pPr>
                              <w:pStyle w:val="ListParagraph"/>
                              <w:numPr>
                                <w:ilvl w:val="0"/>
                                <w:numId w:val="11"/>
                              </w:numPr>
                              <w:spacing w:after="0" w:line="240" w:lineRule="auto"/>
                              <w:ind w:left="714" w:hanging="357"/>
                              <w:rPr>
                                <w:sz w:val="22"/>
                                <w:szCs w:val="22"/>
                              </w:rPr>
                            </w:pPr>
                            <w:r>
                              <w:rPr>
                                <w:sz w:val="22"/>
                                <w:szCs w:val="22"/>
                              </w:rPr>
                              <w:t>Wider strategie</w:t>
                            </w:r>
                            <w:r w:rsidR="00754F50">
                              <w:rPr>
                                <w:sz w:val="22"/>
                                <w:szCs w:val="22"/>
                              </w:rPr>
                              <w:t>s</w:t>
                            </w:r>
                          </w:p>
                          <w:p w14:paraId="304B4AE4" w14:textId="77777777" w:rsidR="00754F50" w:rsidRDefault="00754F50" w:rsidP="00754F50">
                            <w:pPr>
                              <w:spacing w:after="0" w:line="240" w:lineRule="auto"/>
                              <w:rPr>
                                <w:sz w:val="22"/>
                                <w:szCs w:val="22"/>
                              </w:rPr>
                            </w:pPr>
                          </w:p>
                          <w:p w14:paraId="2AFF3E53" w14:textId="2EFDAD5B" w:rsidR="00754F50" w:rsidRPr="00754F50" w:rsidRDefault="00754F50" w:rsidP="00754F50">
                            <w:pPr>
                              <w:spacing w:after="0" w:line="240" w:lineRule="auto"/>
                              <w:rPr>
                                <w:sz w:val="22"/>
                                <w:szCs w:val="22"/>
                              </w:rPr>
                            </w:pPr>
                            <w:r w:rsidRPr="00754F50">
                              <w:rPr>
                                <w:sz w:val="22"/>
                                <w:szCs w:val="22"/>
                              </w:rPr>
                              <w:t>Our approaches will be monitored and reviewed to analyse impact on outcomes for disadvantaged pupils.</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0C50E999" id="_x0000_t202" coordsize="21600,21600" o:spt="202" path="m,l,21600r21600,l21600,xe">
                <v:stroke joinstyle="miter"/>
                <v:path gradientshapeok="t" o:connecttype="rect"/>
              </v:shapetype>
              <v:shape id="Text Box 2" o:spid="_x0000_s1026" type="#_x0000_t202" style="position:absolute;left:0;text-align:left;margin-left:-24.45pt;margin-top:29.55pt;width:545.05pt;height:1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" stroked="f">
                <v:textbox>
                  <w:txbxContent>
                    <w:p w14:paraId="0C50E9A3" w14:textId="155880C4" w:rsidR="00092C63" w:rsidRDefault="00D95AAF" w:rsidP="00D95AAF">
                      <w:pPr>
                        <w:spacing w:after="0" w:line="240" w:lineRule="auto"/>
                        <w:rPr>
                          <w:sz w:val="22"/>
                          <w:szCs w:val="22"/>
                        </w:rPr>
                      </w:pPr>
                      <w:r w:rsidRPr="00D95AAF">
                        <w:rPr>
                          <w:sz w:val="22"/>
                          <w:szCs w:val="22"/>
                        </w:rPr>
                        <w:t xml:space="preserve">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 </w:t>
                      </w:r>
                      <w:r w:rsidR="0032083A">
                        <w:rPr>
                          <w:sz w:val="22"/>
                          <w:szCs w:val="22"/>
                        </w:rPr>
                        <w:t>Our funding allocation will focus on three core areas:</w:t>
                      </w:r>
                    </w:p>
                    <w:p w14:paraId="0C50E9A4" w14:textId="77777777" w:rsidR="00092C63" w:rsidRDefault="0032083A" w:rsidP="00D95AAF">
                      <w:pPr>
                        <w:pStyle w:val="ListParagraph"/>
                        <w:numPr>
                          <w:ilvl w:val="0"/>
                          <w:numId w:val="11"/>
                        </w:numPr>
                        <w:spacing w:after="0" w:line="240" w:lineRule="auto"/>
                        <w:ind w:left="714" w:hanging="357"/>
                        <w:rPr>
                          <w:sz w:val="22"/>
                          <w:szCs w:val="22"/>
                        </w:rPr>
                      </w:pPr>
                      <w:r>
                        <w:rPr>
                          <w:sz w:val="22"/>
                          <w:szCs w:val="22"/>
                        </w:rPr>
                        <w:t>Teaching</w:t>
                      </w:r>
                    </w:p>
                    <w:p w14:paraId="0C50E9A5" w14:textId="77777777" w:rsidR="00092C63" w:rsidRDefault="0032083A" w:rsidP="00D95AAF">
                      <w:pPr>
                        <w:pStyle w:val="ListParagraph"/>
                        <w:numPr>
                          <w:ilvl w:val="0"/>
                          <w:numId w:val="11"/>
                        </w:numPr>
                        <w:spacing w:after="0" w:line="240" w:lineRule="auto"/>
                        <w:ind w:left="714" w:hanging="357"/>
                        <w:rPr>
                          <w:sz w:val="22"/>
                          <w:szCs w:val="22"/>
                        </w:rPr>
                      </w:pPr>
                      <w:r>
                        <w:rPr>
                          <w:sz w:val="22"/>
                          <w:szCs w:val="22"/>
                        </w:rPr>
                        <w:t>Targeted academic support</w:t>
                      </w:r>
                    </w:p>
                    <w:p w14:paraId="01390BF8" w14:textId="6F9A9AF5" w:rsidR="00754F50" w:rsidRPr="00754F50" w:rsidRDefault="0032083A" w:rsidP="00754F50">
                      <w:pPr>
                        <w:pStyle w:val="ListParagraph"/>
                        <w:numPr>
                          <w:ilvl w:val="0"/>
                          <w:numId w:val="11"/>
                        </w:numPr>
                        <w:spacing w:after="0" w:line="240" w:lineRule="auto"/>
                        <w:ind w:left="714" w:hanging="357"/>
                        <w:rPr>
                          <w:sz w:val="22"/>
                          <w:szCs w:val="22"/>
                        </w:rPr>
                      </w:pPr>
                      <w:r>
                        <w:rPr>
                          <w:sz w:val="22"/>
                          <w:szCs w:val="22"/>
                        </w:rPr>
                        <w:t>Wider strategie</w:t>
                      </w:r>
                      <w:r w:rsidR="00754F50">
                        <w:rPr>
                          <w:sz w:val="22"/>
                          <w:szCs w:val="22"/>
                        </w:rPr>
                        <w:t>s</w:t>
                      </w:r>
                    </w:p>
                    <w:p w14:paraId="304B4AE4" w14:textId="77777777" w:rsidR="00754F50" w:rsidRDefault="00754F50" w:rsidP="00754F50">
                      <w:pPr>
                        <w:spacing w:after="0" w:line="240" w:lineRule="auto"/>
                        <w:rPr>
                          <w:sz w:val="22"/>
                          <w:szCs w:val="22"/>
                        </w:rPr>
                      </w:pPr>
                    </w:p>
                    <w:p w14:paraId="2AFF3E53" w14:textId="2EFDAD5B" w:rsidR="00754F50" w:rsidRPr="00754F50" w:rsidRDefault="00754F50" w:rsidP="00754F50">
                      <w:pPr>
                        <w:spacing w:after="0" w:line="240" w:lineRule="auto"/>
                        <w:rPr>
                          <w:sz w:val="22"/>
                          <w:szCs w:val="22"/>
                        </w:rPr>
                      </w:pPr>
                      <w:r w:rsidRPr="00754F50">
                        <w:rPr>
                          <w:sz w:val="22"/>
                          <w:szCs w:val="22"/>
                        </w:rPr>
                        <w:t>Our approaches will be monitored and reviewed to analyse impact on outcomes for disadvantaged pupils.</w:t>
                      </w:r>
                    </w:p>
                  </w:txbxContent>
                </v:textbox>
                <w10:wrap anchorx="margin"/>
              </v:shape>
            </w:pict>
          </mc:Fallback>
        </mc:AlternateContent>
      </w:r>
      <w:r>
        <w:rPr>
          <w:b/>
          <w:bCs/>
          <w:noProof/>
          <w:color w:val="7030A0"/>
        </w:rPr>
        <mc:AlternateContent>
          <mc:Choice Requires="wps">
            <w:drawing>
              <wp:anchor distT="0" distB="0" distL="114300" distR="114300" simplePos="0" relativeHeight="251658242" behindDoc="0" locked="0" layoutInCell="1" allowOverlap="1" wp14:anchorId="0C50E99B" wp14:editId="53C2A3FA">
                <wp:simplePos x="0" y="0"/>
                <wp:positionH relativeFrom="column">
                  <wp:posOffset>803275</wp:posOffset>
                </wp:positionH>
                <wp:positionV relativeFrom="paragraph">
                  <wp:posOffset>-510540</wp:posOffset>
                </wp:positionV>
                <wp:extent cx="2076446" cy="428625"/>
                <wp:effectExtent l="0" t="0" r="19054" b="28575"/>
                <wp:wrapNone/>
                <wp:docPr id="2" name="Text Box 4"/>
                <wp:cNvGraphicFramePr/>
                <a:graphic xmlns:a="http://schemas.openxmlformats.org/drawingml/2006/main">
                  <a:graphicData uri="http://schemas.microsoft.com/office/word/2010/wordprocessingShape">
                    <wps:wsp>
                      <wps:cNvSpPr txBox="1"/>
                      <wps:spPr>
                        <a:xfrm>
                          <a:off x="0" y="0"/>
                          <a:ext cx="2076446" cy="428625"/>
                        </a:xfrm>
                        <a:prstGeom prst="rect">
                          <a:avLst/>
                        </a:prstGeom>
                        <a:solidFill>
                          <a:srgbClr val="FFFFFF"/>
                        </a:solidFill>
                        <a:ln w="6345">
                          <a:solidFill>
                            <a:srgbClr val="000000"/>
                          </a:solidFill>
                          <a:prstDash val="solid"/>
                        </a:ln>
                      </wps:spPr>
                      <wps:txbx>
                        <w:txbxContent>
                          <w:p w14:paraId="0C50E9AA" w14:textId="69E01D58" w:rsidR="00092C63" w:rsidRDefault="00502F8E">
                            <w:pPr>
                              <w:jc w:val="center"/>
                            </w:pPr>
                            <w:r w:rsidRPr="00502F8E">
                              <w:rPr>
                                <w:noProof/>
                              </w:rPr>
                              <w:drawing>
                                <wp:inline distT="0" distB="0" distL="0" distR="0" wp14:anchorId="1190DFB4" wp14:editId="18D621EC">
                                  <wp:extent cx="330835"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0C50E99B" id="Text Box 4" o:spid="_x0000_s1027" type="#_x0000_t202" style="position:absolute;left:0;text-align:left;margin-left:63.25pt;margin-top:-40.2pt;width:163.5pt;height:33.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" strokeweight=".17625mm">
                <v:textbox>
                  <w:txbxContent>
                    <w:p w14:paraId="0C50E9AA" w14:textId="69E01D58" w:rsidR="00092C63" w:rsidRDefault="00502F8E">
                      <w:pPr>
                        <w:jc w:val="center"/>
                      </w:pPr>
                      <w:r w:rsidRPr="00502F8E">
                        <w:rPr>
                          <w:noProof/>
                        </w:rPr>
                        <w:drawing>
                          <wp:inline distT="0" distB="0" distL="0" distR="0" wp14:anchorId="1190DFB4" wp14:editId="18D621EC">
                            <wp:extent cx="330835"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a:ln>
                                      <a:noFill/>
                                    </a:ln>
                                  </pic:spPr>
                                </pic:pic>
                              </a:graphicData>
                            </a:graphic>
                          </wp:inline>
                        </w:drawing>
                      </w:r>
                    </w:p>
                  </w:txbxContent>
                </v:textbox>
              </v:shape>
            </w:pict>
          </mc:Fallback>
        </mc:AlternateContent>
      </w:r>
      <w:r>
        <w:rPr>
          <w:b/>
          <w:bCs/>
          <w:noProof/>
          <w:color w:val="7030A0"/>
        </w:rPr>
        <w:drawing>
          <wp:anchor distT="0" distB="0" distL="114300" distR="114300" simplePos="0" relativeHeight="251658241" behindDoc="0" locked="0" layoutInCell="1" allowOverlap="1" wp14:anchorId="0C50E99D" wp14:editId="4DF2C310">
            <wp:simplePos x="0" y="0"/>
            <wp:positionH relativeFrom="column">
              <wp:posOffset>3006090</wp:posOffset>
            </wp:positionH>
            <wp:positionV relativeFrom="paragraph">
              <wp:posOffset>-567055</wp:posOffset>
            </wp:positionV>
            <wp:extent cx="2072643" cy="560700"/>
            <wp:effectExtent l="0" t="0" r="3807"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72643" cy="560700"/>
                    </a:xfrm>
                    <a:prstGeom prst="rect">
                      <a:avLst/>
                    </a:prstGeom>
                    <a:noFill/>
                    <a:ln>
                      <a:noFill/>
                      <a:prstDash/>
                    </a:ln>
                  </pic:spPr>
                </pic:pic>
              </a:graphicData>
            </a:graphic>
          </wp:anchor>
        </w:drawing>
      </w:r>
      <w:r w:rsidR="00502F8E">
        <w:rPr>
          <w:b/>
          <w:bCs/>
          <w:noProof/>
          <w:color w:val="7030A0"/>
        </w:rPr>
        <w:t>Bathford Church School</w:t>
      </w:r>
      <w:r w:rsidR="0032083A">
        <w:rPr>
          <w:b/>
          <w:bCs/>
          <w:color w:val="7030A0"/>
        </w:rPr>
        <w:t xml:space="preserve"> Pupil </w:t>
      </w:r>
      <w:r w:rsidR="00F40F44">
        <w:rPr>
          <w:b/>
          <w:bCs/>
          <w:color w:val="7030A0"/>
        </w:rPr>
        <w:t>P</w:t>
      </w:r>
      <w:r w:rsidR="0032083A">
        <w:rPr>
          <w:b/>
          <w:bCs/>
          <w:color w:val="7030A0"/>
        </w:rPr>
        <w:t>remium Strategy Statement 2021-2022</w:t>
      </w:r>
    </w:p>
    <w:p w14:paraId="1DEEEB9F" w14:textId="71D1E88F" w:rsidR="00754F50" w:rsidRDefault="00754F50">
      <w:pPr>
        <w:jc w:val="center"/>
        <w:rPr>
          <w:b/>
          <w:bCs/>
          <w:color w:val="7030A0"/>
        </w:rPr>
      </w:pPr>
    </w:p>
    <w:p w14:paraId="1CD39FD3" w14:textId="77777777" w:rsidR="00754F50" w:rsidRDefault="00754F50">
      <w:pPr>
        <w:jc w:val="center"/>
      </w:pPr>
    </w:p>
    <w:p w14:paraId="0C50E999" w14:textId="6F5660D6" w:rsidR="00092C63" w:rsidRDefault="00092C63"/>
    <w:p w14:paraId="0C50E99A" w14:textId="7EB28D97" w:rsidR="00092C63" w:rsidRDefault="007844DC">
      <w:r>
        <w:rPr>
          <w:b/>
          <w:bCs/>
          <w:noProof/>
          <w:color w:val="7030A0"/>
        </w:rPr>
        <w:drawing>
          <wp:anchor distT="0" distB="0" distL="114300" distR="114300" simplePos="0" relativeHeight="251658243" behindDoc="0" locked="0" layoutInCell="1" allowOverlap="1" wp14:anchorId="0C50E99F" wp14:editId="57101BE5">
            <wp:simplePos x="0" y="0"/>
            <wp:positionH relativeFrom="margin">
              <wp:posOffset>6652260</wp:posOffset>
            </wp:positionH>
            <wp:positionV relativeFrom="paragraph">
              <wp:posOffset>326390</wp:posOffset>
            </wp:positionV>
            <wp:extent cx="2823845" cy="247650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823845" cy="2476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bookmarkEnd w:id="1"/>
    <w:bookmarkEnd w:id="2"/>
    <w:p w14:paraId="5F7CCDAA" w14:textId="77777777" w:rsidR="00FF0E19" w:rsidRDefault="00FF0E19"/>
    <w:p w14:paraId="0C50E99D" w14:textId="416D88D0" w:rsidR="00092C63" w:rsidRDefault="0032083A">
      <w:r>
        <w:rPr>
          <w:b/>
          <w:color w:val="7030A0"/>
        </w:rPr>
        <w:t>School overview</w:t>
      </w:r>
    </w:p>
    <w:tbl>
      <w:tblPr>
        <w:tblW w:w="9351" w:type="dxa"/>
        <w:tblCellMar>
          <w:left w:w="10" w:type="dxa"/>
          <w:right w:w="10" w:type="dxa"/>
        </w:tblCellMar>
        <w:tblLook w:val="04A0" w:firstRow="1" w:lastRow="0" w:firstColumn="1" w:lastColumn="0" w:noHBand="0" w:noVBand="1"/>
      </w:tblPr>
      <w:tblGrid>
        <w:gridCol w:w="5665"/>
        <w:gridCol w:w="3686"/>
      </w:tblGrid>
      <w:tr w:rsidR="00092C63" w14:paraId="0C50E9A0" w14:textId="77777777" w:rsidTr="5AA66F07">
        <w:trPr>
          <w:trHeight w:val="218"/>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9E" w14:textId="1AB4EFBD" w:rsidR="00092C63" w:rsidRPr="007844DC" w:rsidRDefault="0032083A">
            <w:pPr>
              <w:rPr>
                <w:b/>
                <w:color w:val="auto"/>
                <w:sz w:val="20"/>
                <w:szCs w:val="20"/>
              </w:rPr>
            </w:pPr>
            <w:r w:rsidRPr="007844DC">
              <w:rPr>
                <w:b/>
                <w:color w:val="auto"/>
                <w:sz w:val="20"/>
                <w:szCs w:val="20"/>
              </w:rPr>
              <w:t>Total number of pupils in school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9F" w14:textId="6C9E6A11" w:rsidR="00092C63" w:rsidRPr="005116AF" w:rsidRDefault="009C40C0">
            <w:pPr>
              <w:rPr>
                <w:color w:val="auto"/>
                <w:sz w:val="20"/>
                <w:szCs w:val="20"/>
              </w:rPr>
            </w:pPr>
            <w:r w:rsidRPr="005116AF">
              <w:rPr>
                <w:color w:val="auto"/>
                <w:sz w:val="20"/>
                <w:szCs w:val="20"/>
              </w:rPr>
              <w:t>10/182</w:t>
            </w:r>
          </w:p>
        </w:tc>
      </w:tr>
      <w:tr w:rsidR="00092C63" w14:paraId="0C50E9A3" w14:textId="77777777" w:rsidTr="5AA66F07">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1" w14:textId="7ABA61FA" w:rsidR="00092C63" w:rsidRPr="007844DC" w:rsidRDefault="0032083A">
            <w:pPr>
              <w:rPr>
                <w:b/>
                <w:color w:val="auto"/>
                <w:sz w:val="20"/>
                <w:szCs w:val="20"/>
              </w:rPr>
            </w:pPr>
            <w:r w:rsidRPr="007844DC">
              <w:rPr>
                <w:b/>
                <w:color w:val="auto"/>
                <w:sz w:val="20"/>
                <w:szCs w:val="20"/>
              </w:rPr>
              <w:t>Proportion of disadvantaged pupils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2" w14:textId="6738AFF8" w:rsidR="00092C63" w:rsidRPr="005116AF" w:rsidRDefault="005116AF">
            <w:pPr>
              <w:rPr>
                <w:color w:val="auto"/>
                <w:sz w:val="20"/>
                <w:szCs w:val="20"/>
              </w:rPr>
            </w:pPr>
            <w:r w:rsidRPr="005116AF">
              <w:rPr>
                <w:color w:val="auto"/>
                <w:sz w:val="20"/>
                <w:szCs w:val="20"/>
              </w:rPr>
              <w:t>5.5%</w:t>
            </w:r>
          </w:p>
        </w:tc>
      </w:tr>
      <w:tr w:rsidR="00092C63" w14:paraId="0C50E9A6" w14:textId="77777777" w:rsidTr="5AA66F07">
        <w:trPr>
          <w:trHeight w:val="296"/>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4" w14:textId="77777777" w:rsidR="00092C63" w:rsidRPr="007844DC" w:rsidRDefault="0032083A">
            <w:pPr>
              <w:rPr>
                <w:b/>
                <w:color w:val="auto"/>
                <w:sz w:val="20"/>
                <w:szCs w:val="20"/>
              </w:rPr>
            </w:pPr>
            <w:r w:rsidRPr="007844DC">
              <w:rPr>
                <w:b/>
                <w:color w:val="auto"/>
                <w:sz w:val="20"/>
                <w:szCs w:val="20"/>
              </w:rPr>
              <w:t>Proportion of disadvantaged pupils who have SEND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5" w14:textId="7B0FEA64" w:rsidR="00092C63" w:rsidRPr="005116AF" w:rsidRDefault="005116AF">
            <w:pPr>
              <w:rPr>
                <w:color w:val="auto"/>
                <w:sz w:val="20"/>
                <w:szCs w:val="20"/>
              </w:rPr>
            </w:pPr>
            <w:r w:rsidRPr="005116AF">
              <w:rPr>
                <w:color w:val="auto"/>
                <w:sz w:val="20"/>
                <w:szCs w:val="20"/>
              </w:rPr>
              <w:t>2/10    20% of PP Cohort</w:t>
            </w:r>
          </w:p>
        </w:tc>
      </w:tr>
      <w:tr w:rsidR="00092C63" w14:paraId="0C50E9A9" w14:textId="77777777" w:rsidTr="5AA66F07">
        <w:trPr>
          <w:trHeight w:val="473"/>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7" w14:textId="5E8EDAF3" w:rsidR="00092C63" w:rsidRPr="007844DC" w:rsidRDefault="00926867">
            <w:pPr>
              <w:rPr>
                <w:b/>
                <w:color w:val="auto"/>
                <w:sz w:val="20"/>
                <w:szCs w:val="20"/>
              </w:rPr>
            </w:pPr>
            <w:r w:rsidRPr="007844DC">
              <w:rPr>
                <w:b/>
                <w:color w:val="auto"/>
                <w:sz w:val="20"/>
                <w:szCs w:val="20"/>
              </w:rPr>
              <w:t>Academic year/years that our current pupil premium strategy plan covers (3 year plans are recommended)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8" w14:textId="5C80D992" w:rsidR="00092C63" w:rsidRPr="005116AF" w:rsidRDefault="00F6471F">
            <w:pPr>
              <w:rPr>
                <w:color w:val="auto"/>
                <w:sz w:val="20"/>
                <w:szCs w:val="20"/>
              </w:rPr>
            </w:pPr>
            <w:r>
              <w:rPr>
                <w:color w:val="auto"/>
                <w:sz w:val="20"/>
                <w:szCs w:val="20"/>
              </w:rPr>
              <w:t>2021-22</w:t>
            </w:r>
          </w:p>
        </w:tc>
      </w:tr>
      <w:tr w:rsidR="00092C63" w14:paraId="0C50E9AC" w14:textId="77777777" w:rsidTr="5AA66F07">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A" w14:textId="77777777" w:rsidR="00092C63" w:rsidRPr="007844DC" w:rsidRDefault="0032083A">
            <w:pPr>
              <w:rPr>
                <w:b/>
                <w:color w:val="auto"/>
                <w:sz w:val="20"/>
                <w:szCs w:val="20"/>
              </w:rPr>
            </w:pPr>
            <w:r w:rsidRPr="007844DC">
              <w:rPr>
                <w:b/>
                <w:color w:val="auto"/>
                <w:sz w:val="20"/>
                <w:szCs w:val="20"/>
              </w:rPr>
              <w:t>Publish date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B" w14:textId="15009E74" w:rsidR="00092C63" w:rsidRPr="005116AF" w:rsidRDefault="005116AF">
            <w:pPr>
              <w:rPr>
                <w:color w:val="auto"/>
                <w:sz w:val="20"/>
                <w:szCs w:val="20"/>
              </w:rPr>
            </w:pPr>
            <w:r w:rsidRPr="005116AF">
              <w:rPr>
                <w:color w:val="auto"/>
                <w:sz w:val="20"/>
                <w:szCs w:val="20"/>
              </w:rPr>
              <w:t>September 2021</w:t>
            </w:r>
          </w:p>
        </w:tc>
      </w:tr>
      <w:tr w:rsidR="00092C63" w14:paraId="0C50E9AF" w14:textId="77777777" w:rsidTr="5AA66F07">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D" w14:textId="77777777" w:rsidR="00092C63" w:rsidRPr="007844DC" w:rsidRDefault="0032083A">
            <w:pPr>
              <w:rPr>
                <w:b/>
                <w:color w:val="auto"/>
                <w:sz w:val="20"/>
                <w:szCs w:val="20"/>
              </w:rPr>
            </w:pPr>
            <w:r w:rsidRPr="007844DC">
              <w:rPr>
                <w:b/>
                <w:color w:val="auto"/>
                <w:sz w:val="20"/>
                <w:szCs w:val="20"/>
              </w:rPr>
              <w:t>Review date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E" w14:textId="7FF26B78" w:rsidR="00092C63" w:rsidRPr="005116AF" w:rsidRDefault="005116AF">
            <w:pPr>
              <w:rPr>
                <w:color w:val="auto"/>
                <w:sz w:val="20"/>
                <w:szCs w:val="20"/>
              </w:rPr>
            </w:pPr>
            <w:r w:rsidRPr="005116AF">
              <w:rPr>
                <w:color w:val="auto"/>
                <w:sz w:val="20"/>
                <w:szCs w:val="20"/>
              </w:rPr>
              <w:t>July 2022</w:t>
            </w:r>
          </w:p>
        </w:tc>
      </w:tr>
      <w:tr w:rsidR="00092C63" w14:paraId="0C50E9B2" w14:textId="77777777" w:rsidTr="5AA66F07">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0" w14:textId="77777777" w:rsidR="00092C63" w:rsidRPr="007844DC" w:rsidRDefault="0032083A">
            <w:pPr>
              <w:rPr>
                <w:b/>
                <w:color w:val="auto"/>
                <w:sz w:val="20"/>
                <w:szCs w:val="20"/>
              </w:rPr>
            </w:pPr>
            <w:r w:rsidRPr="007844DC">
              <w:rPr>
                <w:b/>
                <w:color w:val="auto"/>
                <w:sz w:val="20"/>
                <w:szCs w:val="20"/>
              </w:rPr>
              <w:t>Statement authorised by</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E52296" w14:textId="77777777" w:rsidR="005116AF" w:rsidRPr="005116AF" w:rsidRDefault="005116AF" w:rsidP="005116AF">
            <w:pPr>
              <w:spacing w:after="0" w:line="240" w:lineRule="auto"/>
              <w:rPr>
                <w:color w:val="auto"/>
                <w:sz w:val="20"/>
                <w:szCs w:val="20"/>
              </w:rPr>
            </w:pPr>
            <w:r w:rsidRPr="005116AF">
              <w:rPr>
                <w:color w:val="auto"/>
                <w:sz w:val="20"/>
                <w:szCs w:val="20"/>
              </w:rPr>
              <w:t>B Hayter – Headteacher</w:t>
            </w:r>
          </w:p>
          <w:p w14:paraId="0C50E9B1" w14:textId="336C9E26" w:rsidR="00092C63" w:rsidRPr="005116AF" w:rsidRDefault="005116AF" w:rsidP="005116AF">
            <w:pPr>
              <w:rPr>
                <w:color w:val="auto"/>
                <w:sz w:val="20"/>
                <w:szCs w:val="20"/>
              </w:rPr>
            </w:pPr>
            <w:r w:rsidRPr="005116AF">
              <w:rPr>
                <w:color w:val="auto"/>
                <w:sz w:val="20"/>
                <w:szCs w:val="20"/>
              </w:rPr>
              <w:t>C Murray – Vice Chair of Governors</w:t>
            </w:r>
          </w:p>
        </w:tc>
      </w:tr>
      <w:tr w:rsidR="00092C63" w14:paraId="0C50E9B5" w14:textId="77777777" w:rsidTr="5AA66F07">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3" w14:textId="77777777" w:rsidR="00092C63" w:rsidRPr="007844DC" w:rsidRDefault="0032083A">
            <w:pPr>
              <w:rPr>
                <w:b/>
                <w:color w:val="auto"/>
                <w:sz w:val="20"/>
                <w:szCs w:val="20"/>
              </w:rPr>
            </w:pPr>
            <w:r w:rsidRPr="007844DC">
              <w:rPr>
                <w:b/>
                <w:color w:val="auto"/>
                <w:sz w:val="20"/>
                <w:szCs w:val="20"/>
              </w:rPr>
              <w:t>Pupil Premium lead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4" w14:textId="56D0B266" w:rsidR="00092C63" w:rsidRPr="005116AF" w:rsidRDefault="005116AF">
            <w:pPr>
              <w:rPr>
                <w:color w:val="auto"/>
                <w:sz w:val="20"/>
                <w:szCs w:val="20"/>
              </w:rPr>
            </w:pPr>
            <w:r w:rsidRPr="005116AF">
              <w:rPr>
                <w:color w:val="auto"/>
                <w:sz w:val="20"/>
                <w:szCs w:val="20"/>
              </w:rPr>
              <w:t>Jennifer Keenan &amp; Rachel Morcom</w:t>
            </w:r>
          </w:p>
        </w:tc>
      </w:tr>
      <w:tr w:rsidR="00092C63" w14:paraId="0C50E9B8" w14:textId="77777777" w:rsidTr="5AA66F07">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6" w14:textId="77777777" w:rsidR="00092C63" w:rsidRPr="007844DC" w:rsidRDefault="0032083A">
            <w:pPr>
              <w:rPr>
                <w:b/>
                <w:color w:val="auto"/>
                <w:sz w:val="20"/>
                <w:szCs w:val="20"/>
              </w:rPr>
            </w:pPr>
            <w:r w:rsidRPr="007844DC">
              <w:rPr>
                <w:b/>
                <w:color w:val="auto"/>
                <w:sz w:val="20"/>
                <w:szCs w:val="20"/>
              </w:rPr>
              <w:t>Governor lead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7" w14:textId="7565FC87" w:rsidR="00092C63" w:rsidRPr="005116AF" w:rsidRDefault="005116AF">
            <w:pPr>
              <w:rPr>
                <w:color w:val="auto"/>
                <w:sz w:val="20"/>
                <w:szCs w:val="20"/>
              </w:rPr>
            </w:pPr>
            <w:r w:rsidRPr="005116AF">
              <w:rPr>
                <w:color w:val="auto"/>
                <w:sz w:val="20"/>
                <w:szCs w:val="20"/>
              </w:rPr>
              <w:t>Alison Rideal</w:t>
            </w:r>
          </w:p>
        </w:tc>
      </w:tr>
    </w:tbl>
    <w:p w14:paraId="257A3044" w14:textId="35BDA54F" w:rsidR="007844DC" w:rsidRPr="00754F50" w:rsidRDefault="00754F50" w:rsidP="007844DC">
      <w:pPr>
        <w:spacing w:before="480" w:line="240" w:lineRule="auto"/>
        <w:rPr>
          <w:b/>
          <w:color w:val="7030A0"/>
          <w:sz w:val="32"/>
          <w:szCs w:val="32"/>
        </w:rPr>
      </w:pPr>
      <w:r>
        <w:rPr>
          <w:b/>
          <w:color w:val="7030A0"/>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7844DC" w14:paraId="1ACB9193" w14:textId="77777777" w:rsidTr="5C30614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vAlign w:val="center"/>
          </w:tcPr>
          <w:p w14:paraId="5B9A760C" w14:textId="77777777" w:rsidR="007844DC" w:rsidRDefault="007844DC" w:rsidP="0057593C">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vAlign w:val="center"/>
          </w:tcPr>
          <w:p w14:paraId="4FAF7FED" w14:textId="77777777" w:rsidR="007844DC" w:rsidRDefault="007844DC" w:rsidP="0057593C">
            <w:pPr>
              <w:pStyle w:val="TableRow"/>
            </w:pPr>
            <w:r>
              <w:rPr>
                <w:b/>
              </w:rPr>
              <w:t>Amount</w:t>
            </w:r>
          </w:p>
        </w:tc>
      </w:tr>
      <w:tr w:rsidR="007844DC" w14:paraId="3ADFCD4D" w14:textId="77777777" w:rsidTr="5C30614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9C6C27" w14:textId="77777777" w:rsidR="007844DC" w:rsidRDefault="007844DC" w:rsidP="0057593C">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DCD0A" w14:textId="152E6D1A" w:rsidR="007844DC" w:rsidRDefault="005116AF" w:rsidP="0057593C">
            <w:pPr>
              <w:pStyle w:val="TableRow"/>
              <w:rPr>
                <w:rFonts w:eastAsia="Arial" w:cs="Arial"/>
                <w:b/>
                <w:color w:val="auto"/>
                <w:sz w:val="22"/>
                <w:szCs w:val="22"/>
              </w:rPr>
            </w:pPr>
            <w:r w:rsidRPr="4D66C1E8">
              <w:rPr>
                <w:rFonts w:eastAsia="Arial" w:cs="Arial"/>
                <w:b/>
              </w:rPr>
              <w:t>]</w:t>
            </w:r>
            <w:r w:rsidRPr="70FDCEDE">
              <w:rPr>
                <w:rFonts w:eastAsia="Arial" w:cs="Arial"/>
                <w:b/>
                <w:color w:val="auto"/>
                <w:sz w:val="22"/>
                <w:szCs w:val="22"/>
              </w:rPr>
              <w:t>£16</w:t>
            </w:r>
            <w:r w:rsidR="00600EE3" w:rsidRPr="70FDCEDE">
              <w:rPr>
                <w:rFonts w:eastAsia="Arial" w:cs="Arial"/>
                <w:b/>
                <w:color w:val="auto"/>
                <w:sz w:val="22"/>
                <w:szCs w:val="22"/>
              </w:rPr>
              <w:t xml:space="preserve"> </w:t>
            </w:r>
            <w:r w:rsidRPr="70FDCEDE">
              <w:rPr>
                <w:rFonts w:eastAsia="Arial" w:cs="Arial"/>
                <w:b/>
                <w:color w:val="auto"/>
                <w:sz w:val="22"/>
                <w:szCs w:val="22"/>
              </w:rPr>
              <w:t>939</w:t>
            </w:r>
          </w:p>
        </w:tc>
      </w:tr>
      <w:tr w:rsidR="007844DC" w14:paraId="1B2441FA" w14:textId="77777777" w:rsidTr="5C30614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D3E68E" w14:textId="77777777" w:rsidR="007844DC" w:rsidRDefault="007844DC" w:rsidP="0057593C">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0986B" w14:textId="72910A03" w:rsidR="007844DC" w:rsidRPr="00600EE3" w:rsidRDefault="007844DC" w:rsidP="0057593C">
            <w:pPr>
              <w:pStyle w:val="TableRow"/>
              <w:rPr>
                <w:b/>
                <w:color w:val="auto"/>
                <w:sz w:val="22"/>
                <w:szCs w:val="22"/>
              </w:rPr>
            </w:pPr>
            <w:r w:rsidRPr="00600EE3">
              <w:rPr>
                <w:b/>
                <w:color w:val="auto"/>
                <w:sz w:val="22"/>
                <w:szCs w:val="22"/>
              </w:rPr>
              <w:t>£</w:t>
            </w:r>
            <w:r w:rsidR="00F1648A" w:rsidRPr="00600EE3">
              <w:rPr>
                <w:b/>
                <w:color w:val="auto"/>
                <w:sz w:val="22"/>
                <w:szCs w:val="22"/>
              </w:rPr>
              <w:t>1450</w:t>
            </w:r>
          </w:p>
        </w:tc>
      </w:tr>
      <w:tr w:rsidR="007844DC" w14:paraId="4D3C854B" w14:textId="77777777" w:rsidTr="5C30614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03C619" w14:textId="77777777" w:rsidR="007844DC" w:rsidRDefault="007844DC" w:rsidP="0057593C">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3825B" w14:textId="379924C7" w:rsidR="007844DC" w:rsidRPr="00600EE3" w:rsidRDefault="007844DC" w:rsidP="0057593C">
            <w:pPr>
              <w:pStyle w:val="TableRow"/>
              <w:rPr>
                <w:b/>
                <w:color w:val="auto"/>
                <w:sz w:val="22"/>
                <w:szCs w:val="22"/>
              </w:rPr>
            </w:pPr>
            <w:r w:rsidRPr="00600EE3">
              <w:rPr>
                <w:b/>
                <w:color w:val="auto"/>
                <w:sz w:val="22"/>
                <w:szCs w:val="22"/>
              </w:rPr>
              <w:t>£</w:t>
            </w:r>
            <w:r w:rsidR="00600EE3">
              <w:rPr>
                <w:b/>
                <w:color w:val="auto"/>
                <w:sz w:val="22"/>
                <w:szCs w:val="22"/>
              </w:rPr>
              <w:t>0</w:t>
            </w:r>
          </w:p>
        </w:tc>
      </w:tr>
      <w:tr w:rsidR="007844DC" w14:paraId="40648578" w14:textId="77777777" w:rsidTr="5C306143">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27CD8" w14:textId="77777777" w:rsidR="007844DC" w:rsidRDefault="007844DC" w:rsidP="0057593C">
            <w:pPr>
              <w:pStyle w:val="TableRow"/>
              <w:rPr>
                <w:b/>
              </w:rPr>
            </w:pPr>
            <w:r>
              <w:rPr>
                <w:b/>
              </w:rPr>
              <w:t>Total budget for this academic year</w:t>
            </w:r>
          </w:p>
          <w:p w14:paraId="170C2D4F" w14:textId="77777777" w:rsidR="007844DC" w:rsidRDefault="007844DC" w:rsidP="0057593C">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2E413" w14:textId="6A5F3AD2" w:rsidR="007844DC" w:rsidRDefault="00600EE3" w:rsidP="0057593C">
            <w:pPr>
              <w:pStyle w:val="TableRow"/>
            </w:pPr>
            <w:r w:rsidRPr="5C306143">
              <w:rPr>
                <w:b/>
                <w:bCs/>
                <w:color w:val="auto"/>
                <w:sz w:val="22"/>
                <w:szCs w:val="22"/>
              </w:rPr>
              <w:t>£</w:t>
            </w:r>
            <w:r w:rsidRPr="00600EE3">
              <w:rPr>
                <w:b/>
                <w:color w:val="auto"/>
                <w:sz w:val="22"/>
                <w:szCs w:val="22"/>
              </w:rPr>
              <w:t>18</w:t>
            </w:r>
            <w:r>
              <w:rPr>
                <w:b/>
                <w:color w:val="auto"/>
                <w:sz w:val="22"/>
                <w:szCs w:val="22"/>
              </w:rPr>
              <w:t xml:space="preserve"> </w:t>
            </w:r>
            <w:r w:rsidRPr="00600EE3">
              <w:rPr>
                <w:b/>
                <w:color w:val="auto"/>
                <w:sz w:val="22"/>
                <w:szCs w:val="22"/>
              </w:rPr>
              <w:t>389</w:t>
            </w:r>
          </w:p>
        </w:tc>
      </w:tr>
    </w:tbl>
    <w:p w14:paraId="2B3E50C8" w14:textId="3AAE748B" w:rsidR="007844DC" w:rsidRDefault="007844DC">
      <w:pPr>
        <w:rPr>
          <w:b/>
          <w:color w:val="7030A0"/>
        </w:rPr>
      </w:pPr>
    </w:p>
    <w:p w14:paraId="55BB9A5F" w14:textId="77777777" w:rsidR="00754F50" w:rsidRDefault="00754F50">
      <w:pPr>
        <w:rPr>
          <w:b/>
          <w:color w:val="7030A0"/>
        </w:rPr>
      </w:pPr>
    </w:p>
    <w:p w14:paraId="338EAFB3" w14:textId="77777777" w:rsidR="00754F50" w:rsidRDefault="00754F50">
      <w:pPr>
        <w:rPr>
          <w:b/>
          <w:color w:val="7030A0"/>
        </w:rPr>
      </w:pPr>
    </w:p>
    <w:p w14:paraId="138F0B19" w14:textId="191E1EC2" w:rsidR="00754F50" w:rsidRDefault="00754F50">
      <w:pPr>
        <w:rPr>
          <w:b/>
          <w:color w:val="7030A0"/>
        </w:rPr>
      </w:pPr>
      <w:r>
        <w:rPr>
          <w:b/>
          <w:color w:val="7030A0"/>
        </w:rPr>
        <w:t>Part A: Pupil Premium Strategy Plan</w:t>
      </w:r>
    </w:p>
    <w:p w14:paraId="347E91DF" w14:textId="2BEC763C" w:rsidR="002E5C37" w:rsidRDefault="00603A7E">
      <w:pPr>
        <w:rPr>
          <w:b/>
          <w:color w:val="7030A0"/>
        </w:rPr>
      </w:pPr>
      <w:r>
        <w:rPr>
          <w:b/>
          <w:color w:val="7030A0"/>
        </w:rPr>
        <w:t>Statement of Intent</w:t>
      </w:r>
      <w:r w:rsidR="006524EF">
        <w:rPr>
          <w:b/>
          <w:color w:val="7030A0"/>
        </w:rPr>
        <w:t xml:space="preserve"> – Over 3 Years</w:t>
      </w:r>
    </w:p>
    <w:p w14:paraId="669EDD67" w14:textId="6461DB50" w:rsidR="00FE0E12" w:rsidRPr="00210D70" w:rsidRDefault="00FE0E12" w:rsidP="00FE0E12">
      <w:pPr>
        <w:rPr>
          <w:b/>
          <w:color w:val="7030A0"/>
          <w:sz w:val="20"/>
          <w:szCs w:val="20"/>
        </w:rPr>
      </w:pPr>
      <w:r w:rsidRPr="00210D70">
        <w:rPr>
          <w:b/>
          <w:color w:val="7030A0"/>
          <w:sz w:val="20"/>
          <w:szCs w:val="20"/>
        </w:rPr>
        <w:t xml:space="preserve">Key principles of our </w:t>
      </w:r>
      <w:r w:rsidR="00210D70" w:rsidRPr="00210D70">
        <w:rPr>
          <w:b/>
          <w:color w:val="7030A0"/>
          <w:sz w:val="20"/>
          <w:szCs w:val="20"/>
        </w:rPr>
        <w:t>strategy echo those of our school vision with a specific focus on children identified as disadvantaged:</w:t>
      </w:r>
    </w:p>
    <w:p w14:paraId="2980AC32" w14:textId="56EB798B" w:rsidR="005116AF" w:rsidRDefault="00210D70">
      <w:pPr>
        <w:rPr>
          <w:bCs/>
          <w:color w:val="7030A0"/>
          <w:sz w:val="20"/>
          <w:szCs w:val="20"/>
        </w:rPr>
      </w:pPr>
      <w:r>
        <w:rPr>
          <w:bCs/>
          <w:color w:val="7030A0"/>
          <w:sz w:val="20"/>
          <w:szCs w:val="20"/>
        </w:rPr>
        <w:t>We</w:t>
      </w:r>
      <w:r w:rsidR="005116AF" w:rsidRPr="005116AF">
        <w:rPr>
          <w:bCs/>
          <w:color w:val="7030A0"/>
          <w:sz w:val="20"/>
          <w:szCs w:val="20"/>
        </w:rPr>
        <w:t xml:space="preserve"> aim to help our children to grow by equipping them with the knowledge, skills and values they need both to make sense of the world and to become caring, responsible global citizens. </w:t>
      </w:r>
    </w:p>
    <w:p w14:paraId="72CD0E7A" w14:textId="0122CA26" w:rsidR="00FE0E12" w:rsidRPr="00210D70" w:rsidRDefault="00FE0E12">
      <w:pPr>
        <w:rPr>
          <w:b/>
          <w:color w:val="7030A0"/>
          <w:sz w:val="20"/>
          <w:szCs w:val="20"/>
        </w:rPr>
      </w:pPr>
      <w:r w:rsidRPr="00210D70">
        <w:rPr>
          <w:b/>
          <w:color w:val="7030A0"/>
          <w:sz w:val="20"/>
          <w:szCs w:val="20"/>
        </w:rPr>
        <w:t>Key objectives linked to our vision:</w:t>
      </w:r>
    </w:p>
    <w:p w14:paraId="3C6B861A" w14:textId="41496649" w:rsidR="00464E47" w:rsidRDefault="00464E47" w:rsidP="00A20F56">
      <w:pPr>
        <w:pStyle w:val="ListParagraph"/>
        <w:numPr>
          <w:ilvl w:val="0"/>
          <w:numId w:val="19"/>
        </w:numPr>
        <w:rPr>
          <w:bCs/>
          <w:color w:val="7030A0"/>
          <w:sz w:val="20"/>
          <w:szCs w:val="20"/>
        </w:rPr>
      </w:pPr>
      <w:r>
        <w:rPr>
          <w:bCs/>
          <w:color w:val="7030A0"/>
          <w:sz w:val="20"/>
          <w:szCs w:val="20"/>
        </w:rPr>
        <w:t>Teachers have high expectations, respond</w:t>
      </w:r>
      <w:r w:rsidR="008F1F60">
        <w:rPr>
          <w:bCs/>
          <w:color w:val="7030A0"/>
          <w:sz w:val="20"/>
          <w:szCs w:val="20"/>
        </w:rPr>
        <w:t>ing</w:t>
      </w:r>
      <w:r>
        <w:rPr>
          <w:bCs/>
          <w:color w:val="7030A0"/>
          <w:sz w:val="20"/>
          <w:szCs w:val="20"/>
        </w:rPr>
        <w:t xml:space="preserve"> and adapt</w:t>
      </w:r>
      <w:r w:rsidR="008F1F60">
        <w:rPr>
          <w:bCs/>
          <w:color w:val="7030A0"/>
          <w:sz w:val="20"/>
          <w:szCs w:val="20"/>
        </w:rPr>
        <w:t>ing</w:t>
      </w:r>
      <w:r>
        <w:rPr>
          <w:bCs/>
          <w:color w:val="7030A0"/>
          <w:sz w:val="20"/>
          <w:szCs w:val="20"/>
        </w:rPr>
        <w:t xml:space="preserve"> their teaching as necessary for c</w:t>
      </w:r>
      <w:r w:rsidR="00A20F56">
        <w:rPr>
          <w:bCs/>
          <w:color w:val="7030A0"/>
          <w:sz w:val="20"/>
          <w:szCs w:val="20"/>
        </w:rPr>
        <w:t>hildren identified as disadvantaged</w:t>
      </w:r>
      <w:r>
        <w:rPr>
          <w:bCs/>
          <w:color w:val="7030A0"/>
          <w:sz w:val="20"/>
          <w:szCs w:val="20"/>
        </w:rPr>
        <w:t>,</w:t>
      </w:r>
      <w:r w:rsidR="00A20F56">
        <w:rPr>
          <w:bCs/>
          <w:color w:val="7030A0"/>
          <w:sz w:val="20"/>
          <w:szCs w:val="20"/>
        </w:rPr>
        <w:t xml:space="preserve"> </w:t>
      </w:r>
      <w:r>
        <w:rPr>
          <w:bCs/>
          <w:color w:val="7030A0"/>
          <w:sz w:val="20"/>
          <w:szCs w:val="20"/>
        </w:rPr>
        <w:t xml:space="preserve">using quality first teaching strategies. </w:t>
      </w:r>
      <w:r w:rsidR="008F1F60">
        <w:rPr>
          <w:bCs/>
          <w:color w:val="7030A0"/>
          <w:sz w:val="20"/>
          <w:szCs w:val="20"/>
        </w:rPr>
        <w:t xml:space="preserve">Children are aware of their learning and know where to focus their efforts so that they make good progress.  </w:t>
      </w:r>
    </w:p>
    <w:p w14:paraId="1AEBE828" w14:textId="1AF71516" w:rsidR="00A20F56" w:rsidRDefault="00464E47" w:rsidP="00A20F56">
      <w:pPr>
        <w:pStyle w:val="ListParagraph"/>
        <w:numPr>
          <w:ilvl w:val="0"/>
          <w:numId w:val="19"/>
        </w:numPr>
        <w:rPr>
          <w:bCs/>
          <w:color w:val="7030A0"/>
          <w:sz w:val="20"/>
          <w:szCs w:val="20"/>
        </w:rPr>
      </w:pPr>
      <w:r>
        <w:rPr>
          <w:bCs/>
          <w:color w:val="7030A0"/>
          <w:sz w:val="20"/>
          <w:szCs w:val="20"/>
        </w:rPr>
        <w:t xml:space="preserve">A rigorous and sequential approach to reading and spelling develops pupil knowledge and confidence. It ensures that pupil premium children gain the depth of knowledge needed to apply learning to varied contexts and access </w:t>
      </w:r>
      <w:r w:rsidR="00A6782D">
        <w:rPr>
          <w:bCs/>
          <w:color w:val="7030A0"/>
          <w:sz w:val="20"/>
          <w:szCs w:val="20"/>
        </w:rPr>
        <w:t>all</w:t>
      </w:r>
      <w:r>
        <w:rPr>
          <w:bCs/>
          <w:color w:val="7030A0"/>
          <w:sz w:val="20"/>
          <w:szCs w:val="20"/>
        </w:rPr>
        <w:t xml:space="preserve"> learning opportunities across the curriculum with which they are presented. </w:t>
      </w:r>
    </w:p>
    <w:p w14:paraId="36F08AEC" w14:textId="69391547" w:rsidR="008F1F60" w:rsidRDefault="008F1F60" w:rsidP="00A20F56">
      <w:pPr>
        <w:pStyle w:val="ListParagraph"/>
        <w:numPr>
          <w:ilvl w:val="0"/>
          <w:numId w:val="19"/>
        </w:numPr>
        <w:rPr>
          <w:bCs/>
          <w:color w:val="7030A0"/>
          <w:sz w:val="20"/>
          <w:szCs w:val="20"/>
        </w:rPr>
      </w:pPr>
      <w:r>
        <w:rPr>
          <w:bCs/>
          <w:color w:val="7030A0"/>
          <w:sz w:val="20"/>
          <w:szCs w:val="20"/>
        </w:rPr>
        <w:t>Children identified as disadvantaged have consistently positive attitudes to their education. Where children find it difficult to emotionally regulate, demonstrate resilience or lack confidence in their ability, appropriate intervention is provided</w:t>
      </w:r>
      <w:r w:rsidR="00A6782D">
        <w:rPr>
          <w:bCs/>
          <w:color w:val="7030A0"/>
          <w:sz w:val="20"/>
          <w:szCs w:val="20"/>
        </w:rPr>
        <w:t xml:space="preserve">. This has </w:t>
      </w:r>
      <w:r>
        <w:rPr>
          <w:bCs/>
          <w:color w:val="7030A0"/>
          <w:sz w:val="20"/>
          <w:szCs w:val="20"/>
        </w:rPr>
        <w:t>a positive impact on</w:t>
      </w:r>
      <w:r w:rsidR="00A6782D">
        <w:rPr>
          <w:bCs/>
          <w:color w:val="7030A0"/>
          <w:sz w:val="20"/>
          <w:szCs w:val="20"/>
        </w:rPr>
        <w:t xml:space="preserve"> pupils’</w:t>
      </w:r>
      <w:r>
        <w:rPr>
          <w:bCs/>
          <w:color w:val="7030A0"/>
          <w:sz w:val="20"/>
          <w:szCs w:val="20"/>
        </w:rPr>
        <w:t xml:space="preserve"> att</w:t>
      </w:r>
      <w:r w:rsidR="00A6782D">
        <w:rPr>
          <w:bCs/>
          <w:color w:val="7030A0"/>
          <w:sz w:val="20"/>
          <w:szCs w:val="20"/>
        </w:rPr>
        <w:t xml:space="preserve">itudes to learning, attendance and academic progress. </w:t>
      </w:r>
    </w:p>
    <w:p w14:paraId="459BE848" w14:textId="77777777" w:rsidR="001D7854" w:rsidRDefault="001D7854">
      <w:pPr>
        <w:rPr>
          <w:bCs/>
          <w:color w:val="FF0000"/>
          <w:sz w:val="20"/>
          <w:szCs w:val="20"/>
        </w:rPr>
      </w:pPr>
    </w:p>
    <w:p w14:paraId="0C50EA00" w14:textId="73D821F7" w:rsidR="00092C63" w:rsidRDefault="00AF0982">
      <w:pPr>
        <w:rPr>
          <w:b/>
          <w:color w:val="7030A0"/>
        </w:rPr>
      </w:pPr>
      <w:r>
        <w:rPr>
          <w:b/>
          <w:color w:val="7030A0"/>
        </w:rPr>
        <w:t>Challenges</w:t>
      </w:r>
    </w:p>
    <w:p w14:paraId="3BC53AC9" w14:textId="77777777" w:rsidR="00AF0982" w:rsidRDefault="00AF0982" w:rsidP="00AF0982">
      <w:pPr>
        <w:spacing w:before="120" w:line="240" w:lineRule="auto"/>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C56F3A" w14:paraId="2DDBE451"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74391443" w14:textId="09566C67" w:rsidR="00C56F3A" w:rsidRDefault="00C56F3A" w:rsidP="0057593C">
            <w:pPr>
              <w:pStyle w:val="TableHeader"/>
              <w:jc w:val="left"/>
            </w:pPr>
            <w:r>
              <w:t>Challenge</w:t>
            </w:r>
          </w:p>
        </w:tc>
        <w:tc>
          <w:tcPr>
            <w:tcW w:w="8009"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4CCB49D2" w14:textId="77777777" w:rsidR="00C56F3A" w:rsidRDefault="00C56F3A" w:rsidP="0057593C">
            <w:pPr>
              <w:pStyle w:val="TableHeader"/>
              <w:jc w:val="left"/>
            </w:pPr>
            <w:r>
              <w:t xml:space="preserve">Detail of challenge </w:t>
            </w:r>
          </w:p>
        </w:tc>
      </w:tr>
      <w:tr w:rsidR="00C56F3A" w14:paraId="1C345AEF"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C7E6" w14:textId="77777777" w:rsidR="00C56F3A" w:rsidRDefault="00C56F3A" w:rsidP="0057593C">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B9F8B" w14:textId="73D454FA" w:rsidR="00C56F3A" w:rsidRDefault="004B5BC4" w:rsidP="0057593C">
            <w:pPr>
              <w:pStyle w:val="TableRowCentered"/>
              <w:jc w:val="left"/>
            </w:pPr>
            <w:r w:rsidRPr="000F1724">
              <w:rPr>
                <w:rFonts w:cs="Arial"/>
                <w:sz w:val="22"/>
                <w:szCs w:val="22"/>
              </w:rPr>
              <w:t xml:space="preserve">Several children </w:t>
            </w:r>
            <w:r>
              <w:rPr>
                <w:rFonts w:cs="Arial"/>
                <w:sz w:val="22"/>
                <w:szCs w:val="22"/>
              </w:rPr>
              <w:t xml:space="preserve">find it difficult to </w:t>
            </w:r>
            <w:r w:rsidRPr="000F1724">
              <w:rPr>
                <w:rFonts w:cs="Arial"/>
                <w:sz w:val="22"/>
                <w:szCs w:val="22"/>
              </w:rPr>
              <w:t>emotional</w:t>
            </w:r>
            <w:r>
              <w:rPr>
                <w:rFonts w:cs="Arial"/>
                <w:sz w:val="22"/>
                <w:szCs w:val="22"/>
              </w:rPr>
              <w:t>ly</w:t>
            </w:r>
            <w:r w:rsidRPr="000F1724">
              <w:rPr>
                <w:rFonts w:cs="Arial"/>
                <w:sz w:val="22"/>
                <w:szCs w:val="22"/>
              </w:rPr>
              <w:t xml:space="preserve"> regulat</w:t>
            </w:r>
            <w:r>
              <w:rPr>
                <w:rFonts w:cs="Arial"/>
                <w:sz w:val="22"/>
                <w:szCs w:val="22"/>
              </w:rPr>
              <w:t>e</w:t>
            </w:r>
            <w:r w:rsidRPr="000F1724">
              <w:rPr>
                <w:rFonts w:cs="Arial"/>
                <w:sz w:val="22"/>
                <w:szCs w:val="22"/>
              </w:rPr>
              <w:t xml:space="preserve"> </w:t>
            </w:r>
            <w:r>
              <w:rPr>
                <w:rFonts w:cs="Arial"/>
                <w:sz w:val="22"/>
                <w:szCs w:val="22"/>
              </w:rPr>
              <w:t>and this means they are not always ready to learn. These children can find it difficult to demonstrate resilience and can lack confidence in their ability. (T</w:t>
            </w:r>
            <w:r w:rsidRPr="000F1724">
              <w:rPr>
                <w:rFonts w:cs="Arial"/>
                <w:sz w:val="22"/>
                <w:szCs w:val="22"/>
              </w:rPr>
              <w:t xml:space="preserve">his </w:t>
            </w:r>
            <w:r>
              <w:rPr>
                <w:rFonts w:cs="Arial"/>
                <w:sz w:val="22"/>
                <w:szCs w:val="22"/>
              </w:rPr>
              <w:t xml:space="preserve">group also </w:t>
            </w:r>
            <w:r w:rsidRPr="000F1724">
              <w:rPr>
                <w:rFonts w:cs="Arial"/>
                <w:sz w:val="22"/>
                <w:szCs w:val="22"/>
              </w:rPr>
              <w:t>includes pupils with SEND</w:t>
            </w:r>
            <w:r>
              <w:rPr>
                <w:rFonts w:cs="Arial"/>
                <w:sz w:val="22"/>
                <w:szCs w:val="22"/>
              </w:rPr>
              <w:t>)</w:t>
            </w:r>
            <w:r w:rsidRPr="000F1724">
              <w:rPr>
                <w:rFonts w:cs="Arial"/>
                <w:sz w:val="22"/>
                <w:szCs w:val="22"/>
              </w:rPr>
              <w:t>.</w:t>
            </w:r>
          </w:p>
        </w:tc>
      </w:tr>
      <w:tr w:rsidR="004B5BC4" w14:paraId="737EF5A6"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4896" w14:textId="77777777" w:rsidR="004B5BC4" w:rsidRDefault="004B5BC4" w:rsidP="004B5BC4">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A5A17" w14:textId="33F55D54" w:rsidR="004B5BC4" w:rsidRDefault="004B5BC4" w:rsidP="004B5BC4">
            <w:pPr>
              <w:pStyle w:val="TableRowCentered"/>
              <w:jc w:val="left"/>
              <w:rPr>
                <w:sz w:val="22"/>
                <w:szCs w:val="22"/>
              </w:rPr>
            </w:pPr>
            <w:r>
              <w:rPr>
                <w:rFonts w:cs="Arial"/>
                <w:sz w:val="22"/>
                <w:szCs w:val="22"/>
              </w:rPr>
              <w:t xml:space="preserve">Several children </w:t>
            </w:r>
            <w:r w:rsidRPr="000F1724">
              <w:rPr>
                <w:rFonts w:cs="Arial"/>
                <w:sz w:val="22"/>
                <w:szCs w:val="22"/>
              </w:rPr>
              <w:t xml:space="preserve">identified as Pupil Premium </w:t>
            </w:r>
            <w:r>
              <w:rPr>
                <w:rFonts w:cs="Arial"/>
                <w:sz w:val="22"/>
                <w:szCs w:val="22"/>
              </w:rPr>
              <w:t>are not meeting age related expectations for reading, which is impacting their ability to access their year group curriculum. (T</w:t>
            </w:r>
            <w:r w:rsidRPr="000F1724">
              <w:rPr>
                <w:rFonts w:cs="Arial"/>
                <w:sz w:val="22"/>
                <w:szCs w:val="22"/>
              </w:rPr>
              <w:t xml:space="preserve">his </w:t>
            </w:r>
            <w:r>
              <w:rPr>
                <w:rFonts w:cs="Arial"/>
                <w:sz w:val="22"/>
                <w:szCs w:val="22"/>
              </w:rPr>
              <w:t xml:space="preserve">group also </w:t>
            </w:r>
            <w:r w:rsidRPr="000F1724">
              <w:rPr>
                <w:rFonts w:cs="Arial"/>
                <w:sz w:val="22"/>
                <w:szCs w:val="22"/>
              </w:rPr>
              <w:t>includes pupils with SEND</w:t>
            </w:r>
            <w:r>
              <w:rPr>
                <w:rFonts w:cs="Arial"/>
                <w:sz w:val="22"/>
                <w:szCs w:val="22"/>
              </w:rPr>
              <w:t>)</w:t>
            </w:r>
            <w:r w:rsidRPr="000F1724">
              <w:rPr>
                <w:rFonts w:cs="Arial"/>
                <w:sz w:val="22"/>
                <w:szCs w:val="22"/>
              </w:rPr>
              <w:t>.</w:t>
            </w:r>
          </w:p>
        </w:tc>
      </w:tr>
      <w:tr w:rsidR="004B5BC4" w14:paraId="31798B76"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2E494" w14:textId="77777777" w:rsidR="004B5BC4" w:rsidRDefault="004B5BC4" w:rsidP="004B5BC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E498" w14:textId="0AE480BA" w:rsidR="004B5BC4" w:rsidRDefault="004B5BC4" w:rsidP="004B5BC4">
            <w:pPr>
              <w:pStyle w:val="TableRowCentered"/>
              <w:jc w:val="left"/>
              <w:rPr>
                <w:sz w:val="22"/>
                <w:szCs w:val="22"/>
              </w:rPr>
            </w:pPr>
            <w:r w:rsidRPr="000F1724">
              <w:rPr>
                <w:rFonts w:cs="Arial"/>
                <w:sz w:val="22"/>
                <w:szCs w:val="22"/>
              </w:rPr>
              <w:t>Some pupils struggle in their confidence and resilience as writers</w:t>
            </w:r>
            <w:r>
              <w:rPr>
                <w:rFonts w:cs="Arial"/>
                <w:sz w:val="22"/>
                <w:szCs w:val="22"/>
              </w:rPr>
              <w:t>,</w:t>
            </w:r>
            <w:r w:rsidRPr="000F1724">
              <w:rPr>
                <w:rFonts w:cs="Arial"/>
                <w:sz w:val="22"/>
                <w:szCs w:val="22"/>
              </w:rPr>
              <w:t xml:space="preserve"> therefore writing stamina and motivation to write can be limited.</w:t>
            </w:r>
          </w:p>
        </w:tc>
      </w:tr>
      <w:tr w:rsidR="004B5BC4" w14:paraId="3A7EE985"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0B74" w14:textId="77777777" w:rsidR="004B5BC4" w:rsidRDefault="004B5BC4" w:rsidP="004B5BC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35F6" w14:textId="575A1923" w:rsidR="004B5BC4" w:rsidRDefault="004B5BC4" w:rsidP="004B5BC4">
            <w:pPr>
              <w:pStyle w:val="TableRowCentered"/>
              <w:jc w:val="left"/>
              <w:rPr>
                <w:iCs/>
                <w:sz w:val="22"/>
              </w:rPr>
            </w:pPr>
            <w:r w:rsidRPr="000F1724">
              <w:rPr>
                <w:rFonts w:cs="Arial"/>
                <w:sz w:val="22"/>
                <w:szCs w:val="22"/>
              </w:rPr>
              <w:t>Whil</w:t>
            </w:r>
            <w:r>
              <w:rPr>
                <w:rFonts w:cs="Arial"/>
                <w:sz w:val="22"/>
                <w:szCs w:val="22"/>
              </w:rPr>
              <w:t>st</w:t>
            </w:r>
            <w:r w:rsidRPr="000F1724">
              <w:rPr>
                <w:rFonts w:cs="Arial"/>
                <w:sz w:val="22"/>
                <w:szCs w:val="22"/>
              </w:rPr>
              <w:t xml:space="preserve"> the attendance for many PP students is good, we have some children who </w:t>
            </w:r>
            <w:r>
              <w:rPr>
                <w:rFonts w:cs="Arial"/>
                <w:sz w:val="22"/>
                <w:szCs w:val="22"/>
              </w:rPr>
              <w:t>have attendance</w:t>
            </w:r>
            <w:r w:rsidRPr="000F1724">
              <w:rPr>
                <w:rFonts w:cs="Arial"/>
                <w:sz w:val="22"/>
                <w:szCs w:val="22"/>
              </w:rPr>
              <w:t xml:space="preserve"> below 95/90%</w:t>
            </w:r>
            <w:r>
              <w:rPr>
                <w:rFonts w:cs="Arial"/>
                <w:sz w:val="22"/>
                <w:szCs w:val="22"/>
              </w:rPr>
              <w:t>.</w:t>
            </w:r>
          </w:p>
        </w:tc>
      </w:tr>
    </w:tbl>
    <w:p w14:paraId="6AC39655" w14:textId="77777777" w:rsidR="00A07369" w:rsidRDefault="00A07369">
      <w:pPr>
        <w:rPr>
          <w:b/>
          <w:color w:val="7030A0"/>
        </w:rPr>
      </w:pPr>
    </w:p>
    <w:p w14:paraId="4EDA653D" w14:textId="77777777" w:rsidR="001D7854" w:rsidRDefault="001D7854">
      <w:pPr>
        <w:rPr>
          <w:b/>
          <w:color w:val="7030A0"/>
        </w:rPr>
      </w:pPr>
    </w:p>
    <w:p w14:paraId="0C50EA2C" w14:textId="092AED33" w:rsidR="00092C63" w:rsidRDefault="00A10A5A">
      <w:pPr>
        <w:rPr>
          <w:b/>
          <w:color w:val="7030A0"/>
        </w:rPr>
      </w:pPr>
      <w:r>
        <w:rPr>
          <w:b/>
          <w:color w:val="7030A0"/>
        </w:rPr>
        <w:t>Intended Outcomes</w:t>
      </w:r>
    </w:p>
    <w:p w14:paraId="09FAC512" w14:textId="77777777" w:rsidR="002C3F85" w:rsidRDefault="002C3F85" w:rsidP="002C3F85">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555"/>
        <w:gridCol w:w="3402"/>
        <w:gridCol w:w="4529"/>
      </w:tblGrid>
      <w:tr w:rsidR="00677485" w14:paraId="0BC2592A" w14:textId="77777777" w:rsidTr="00C72F26">
        <w:tc>
          <w:tcPr>
            <w:tcW w:w="1555" w:type="dxa"/>
            <w:tcBorders>
              <w:top w:val="single" w:sz="4" w:space="0" w:color="000000"/>
              <w:left w:val="single" w:sz="4" w:space="0" w:color="000000"/>
              <w:bottom w:val="single" w:sz="4" w:space="0" w:color="000000"/>
              <w:right w:val="single" w:sz="4" w:space="0" w:color="000000"/>
            </w:tcBorders>
            <w:shd w:val="clear" w:color="auto" w:fill="CED1F4"/>
          </w:tcPr>
          <w:p w14:paraId="14520C6E" w14:textId="5389717A" w:rsidR="00677485" w:rsidRDefault="00B8493C" w:rsidP="00B8493C">
            <w:pPr>
              <w:pStyle w:val="TableHeader"/>
            </w:pPr>
            <w:r>
              <w:t>Challenge</w:t>
            </w:r>
          </w:p>
        </w:tc>
        <w:tc>
          <w:tcPr>
            <w:tcW w:w="3402"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5E868356" w14:textId="6C22F65C" w:rsidR="00677485" w:rsidRDefault="00677485" w:rsidP="0057593C">
            <w:pPr>
              <w:pStyle w:val="TableHeader"/>
              <w:jc w:val="left"/>
            </w:pPr>
            <w:r>
              <w:t>Intended outcome</w:t>
            </w:r>
          </w:p>
        </w:tc>
        <w:tc>
          <w:tcPr>
            <w:tcW w:w="4529"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696967DC" w14:textId="77777777" w:rsidR="00677485" w:rsidRDefault="00677485" w:rsidP="0057593C">
            <w:pPr>
              <w:pStyle w:val="TableHeader"/>
              <w:jc w:val="left"/>
            </w:pPr>
            <w:r>
              <w:t>Success criteria</w:t>
            </w:r>
          </w:p>
        </w:tc>
      </w:tr>
      <w:tr w:rsidR="00677485" w14:paraId="6B248041" w14:textId="77777777" w:rsidTr="00C72F26">
        <w:tc>
          <w:tcPr>
            <w:tcW w:w="1555" w:type="dxa"/>
            <w:tcBorders>
              <w:top w:val="single" w:sz="4" w:space="0" w:color="000000"/>
              <w:left w:val="single" w:sz="4" w:space="0" w:color="000000"/>
              <w:bottom w:val="single" w:sz="4" w:space="0" w:color="000000"/>
              <w:right w:val="single" w:sz="4" w:space="0" w:color="000000"/>
            </w:tcBorders>
          </w:tcPr>
          <w:p w14:paraId="2346A561" w14:textId="38F28DE2" w:rsidR="00677485" w:rsidRPr="00677485" w:rsidRDefault="00677485" w:rsidP="00677485">
            <w:pPr>
              <w:pStyle w:val="TableRow"/>
              <w:jc w:val="center"/>
              <w:rPr>
                <w:sz w:val="22"/>
                <w:szCs w:val="22"/>
              </w:rPr>
            </w:pPr>
            <w:r>
              <w:rPr>
                <w:sz w:val="22"/>
                <w:szCs w:val="22"/>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457F" w14:textId="57C67735" w:rsidR="00677485" w:rsidRPr="00F6471F" w:rsidRDefault="001902D7" w:rsidP="0057593C">
            <w:pPr>
              <w:pStyle w:val="TableRow"/>
              <w:rPr>
                <w:sz w:val="22"/>
                <w:szCs w:val="22"/>
              </w:rPr>
            </w:pPr>
            <w:r w:rsidRPr="00F6471F">
              <w:rPr>
                <w:sz w:val="22"/>
                <w:szCs w:val="22"/>
              </w:rPr>
              <w:t>PP children access relevant intervention/support linked to their needs</w:t>
            </w:r>
            <w:r w:rsidR="00A07369" w:rsidRPr="00F6471F">
              <w:rPr>
                <w:sz w:val="22"/>
                <w:szCs w:val="22"/>
              </w:rPr>
              <w:t>, supporting emotional regulation</w:t>
            </w:r>
            <w:r w:rsidR="001D7854" w:rsidRPr="00F6471F">
              <w:rPr>
                <w:sz w:val="22"/>
                <w:szCs w:val="22"/>
              </w:rPr>
              <w:t>, resilience and confidence</w:t>
            </w:r>
            <w:r w:rsidR="00A07369" w:rsidRPr="00F6471F">
              <w:rPr>
                <w:sz w:val="22"/>
                <w:szCs w:val="22"/>
              </w:rPr>
              <w:t>. Provision may be internal, part of the SEND local offer or external.</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D36E0" w14:textId="763C910B" w:rsidR="00677485" w:rsidRDefault="00A07369" w:rsidP="0057593C">
            <w:pPr>
              <w:pStyle w:val="TableRowCentered"/>
              <w:jc w:val="left"/>
              <w:rPr>
                <w:sz w:val="22"/>
                <w:szCs w:val="22"/>
              </w:rPr>
            </w:pPr>
            <w:r>
              <w:rPr>
                <w:sz w:val="22"/>
                <w:szCs w:val="22"/>
              </w:rPr>
              <w:t>Identified children accessing identified support. Examples include:</w:t>
            </w:r>
          </w:p>
          <w:p w14:paraId="6BDB3722" w14:textId="77777777" w:rsidR="00A07369" w:rsidRDefault="00A07369" w:rsidP="00A07369">
            <w:pPr>
              <w:pStyle w:val="TableRowCentered"/>
              <w:numPr>
                <w:ilvl w:val="0"/>
                <w:numId w:val="14"/>
              </w:numPr>
              <w:jc w:val="left"/>
              <w:rPr>
                <w:sz w:val="22"/>
                <w:szCs w:val="22"/>
              </w:rPr>
            </w:pPr>
            <w:r>
              <w:rPr>
                <w:sz w:val="22"/>
                <w:szCs w:val="22"/>
              </w:rPr>
              <w:t xml:space="preserve">Thrive 1:1 support </w:t>
            </w:r>
          </w:p>
          <w:p w14:paraId="0B8B8449" w14:textId="77777777" w:rsidR="00A07369" w:rsidRDefault="00A07369" w:rsidP="00A07369">
            <w:pPr>
              <w:pStyle w:val="TableRowCentered"/>
              <w:numPr>
                <w:ilvl w:val="0"/>
                <w:numId w:val="14"/>
              </w:numPr>
              <w:jc w:val="left"/>
              <w:rPr>
                <w:sz w:val="22"/>
                <w:szCs w:val="22"/>
              </w:rPr>
            </w:pPr>
            <w:r>
              <w:rPr>
                <w:sz w:val="22"/>
                <w:szCs w:val="22"/>
              </w:rPr>
              <w:t xml:space="preserve">Brighter Futures </w:t>
            </w:r>
          </w:p>
          <w:p w14:paraId="5B6D3966" w14:textId="77777777" w:rsidR="00A07369" w:rsidRDefault="00A07369" w:rsidP="00A07369">
            <w:pPr>
              <w:pStyle w:val="TableRowCentered"/>
              <w:numPr>
                <w:ilvl w:val="0"/>
                <w:numId w:val="14"/>
              </w:numPr>
              <w:jc w:val="left"/>
              <w:rPr>
                <w:sz w:val="22"/>
                <w:szCs w:val="22"/>
              </w:rPr>
            </w:pPr>
            <w:r>
              <w:rPr>
                <w:sz w:val="22"/>
                <w:szCs w:val="22"/>
              </w:rPr>
              <w:t xml:space="preserve">CAMHs </w:t>
            </w:r>
          </w:p>
          <w:p w14:paraId="6AB7F2D2" w14:textId="77777777" w:rsidR="00A07369" w:rsidRDefault="00A07369" w:rsidP="00A07369">
            <w:pPr>
              <w:pStyle w:val="TableRowCentered"/>
              <w:numPr>
                <w:ilvl w:val="0"/>
                <w:numId w:val="14"/>
              </w:numPr>
              <w:jc w:val="left"/>
              <w:rPr>
                <w:sz w:val="22"/>
                <w:szCs w:val="22"/>
              </w:rPr>
            </w:pPr>
            <w:r>
              <w:rPr>
                <w:sz w:val="22"/>
                <w:szCs w:val="22"/>
              </w:rPr>
              <w:t>School Nurse</w:t>
            </w:r>
          </w:p>
          <w:p w14:paraId="61ABDF04" w14:textId="77777777" w:rsidR="00723C6B" w:rsidRDefault="00723C6B" w:rsidP="00102202">
            <w:pPr>
              <w:pStyle w:val="TableRowCentered"/>
              <w:jc w:val="left"/>
              <w:rPr>
                <w:sz w:val="22"/>
                <w:szCs w:val="22"/>
              </w:rPr>
            </w:pPr>
            <w:r>
              <w:rPr>
                <w:sz w:val="22"/>
                <w:szCs w:val="22"/>
              </w:rPr>
              <w:t xml:space="preserve">Parents will have an increased understanding of supportive approaches and know where to seek help. </w:t>
            </w:r>
          </w:p>
          <w:p w14:paraId="674237A2" w14:textId="77777777" w:rsidR="00102202" w:rsidRDefault="00102202" w:rsidP="00102202">
            <w:pPr>
              <w:pStyle w:val="TableRowCentered"/>
              <w:jc w:val="left"/>
              <w:rPr>
                <w:sz w:val="22"/>
                <w:szCs w:val="22"/>
              </w:rPr>
            </w:pPr>
          </w:p>
          <w:p w14:paraId="5EEDFD8A" w14:textId="5C89B6CA" w:rsidR="00102202" w:rsidRDefault="00102202" w:rsidP="00102202">
            <w:pPr>
              <w:pStyle w:val="TableRowCentered"/>
              <w:jc w:val="left"/>
              <w:rPr>
                <w:sz w:val="22"/>
                <w:szCs w:val="22"/>
              </w:rPr>
            </w:pPr>
            <w:r>
              <w:rPr>
                <w:sz w:val="22"/>
                <w:szCs w:val="22"/>
              </w:rPr>
              <w:t>Pupils are able to accept adult support to co</w:t>
            </w:r>
            <w:r w:rsidR="00F6471F">
              <w:rPr>
                <w:sz w:val="22"/>
                <w:szCs w:val="22"/>
              </w:rPr>
              <w:t>-</w:t>
            </w:r>
            <w:r>
              <w:rPr>
                <w:sz w:val="22"/>
                <w:szCs w:val="22"/>
              </w:rPr>
              <w:t xml:space="preserve">regulate or access resources to regulate independently. </w:t>
            </w:r>
          </w:p>
        </w:tc>
      </w:tr>
      <w:tr w:rsidR="00677485" w14:paraId="5036A1A5" w14:textId="77777777" w:rsidTr="00C72F26">
        <w:tc>
          <w:tcPr>
            <w:tcW w:w="1555" w:type="dxa"/>
            <w:tcBorders>
              <w:top w:val="single" w:sz="4" w:space="0" w:color="000000"/>
              <w:left w:val="single" w:sz="4" w:space="0" w:color="000000"/>
              <w:bottom w:val="single" w:sz="4" w:space="0" w:color="000000"/>
              <w:right w:val="single" w:sz="4" w:space="0" w:color="000000"/>
            </w:tcBorders>
          </w:tcPr>
          <w:p w14:paraId="220AD784" w14:textId="4C39E64D" w:rsidR="00677485" w:rsidRPr="00677485" w:rsidRDefault="00677485" w:rsidP="00677485">
            <w:pPr>
              <w:pStyle w:val="TableRow"/>
              <w:jc w:val="center"/>
              <w:rPr>
                <w:sz w:val="22"/>
                <w:szCs w:val="22"/>
              </w:rPr>
            </w:pPr>
            <w:r>
              <w:rPr>
                <w:sz w:val="22"/>
                <w:szCs w:val="22"/>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937BE" w14:textId="19EE4120" w:rsidR="00677485" w:rsidRDefault="00102202" w:rsidP="0057593C">
            <w:pPr>
              <w:pStyle w:val="TableRow"/>
              <w:rPr>
                <w:sz w:val="22"/>
                <w:szCs w:val="22"/>
              </w:rPr>
            </w:pPr>
            <w:r>
              <w:rPr>
                <w:sz w:val="22"/>
                <w:szCs w:val="22"/>
              </w:rPr>
              <w:t xml:space="preserve">All pupil premium children will access high quality teaching of phonics and reading. Where needed this will include additional support/intervention to keep up or catch up.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82B6" w14:textId="77777777" w:rsidR="00677485" w:rsidRDefault="00102202" w:rsidP="00102202">
            <w:pPr>
              <w:pStyle w:val="TableRowCentered"/>
              <w:numPr>
                <w:ilvl w:val="0"/>
                <w:numId w:val="14"/>
              </w:numPr>
              <w:jc w:val="left"/>
              <w:rPr>
                <w:sz w:val="22"/>
                <w:szCs w:val="22"/>
              </w:rPr>
            </w:pPr>
            <w:r>
              <w:rPr>
                <w:sz w:val="22"/>
                <w:szCs w:val="22"/>
              </w:rPr>
              <w:t xml:space="preserve">Children meeting the age related expectation in phonics. </w:t>
            </w:r>
          </w:p>
          <w:p w14:paraId="6CCA7F12" w14:textId="77777777" w:rsidR="00102202" w:rsidRDefault="00102202" w:rsidP="00102202">
            <w:pPr>
              <w:pStyle w:val="TableRowCentered"/>
              <w:numPr>
                <w:ilvl w:val="0"/>
                <w:numId w:val="14"/>
              </w:numPr>
              <w:jc w:val="left"/>
              <w:rPr>
                <w:sz w:val="22"/>
                <w:szCs w:val="22"/>
              </w:rPr>
            </w:pPr>
            <w:r>
              <w:rPr>
                <w:sz w:val="22"/>
                <w:szCs w:val="22"/>
              </w:rPr>
              <w:t xml:space="preserve">Children making at least expected progress for reading. </w:t>
            </w:r>
          </w:p>
          <w:p w14:paraId="63BC7739" w14:textId="2D91F5BD" w:rsidR="00102202" w:rsidRDefault="00102202" w:rsidP="00102202">
            <w:pPr>
              <w:pStyle w:val="TableRowCentered"/>
              <w:numPr>
                <w:ilvl w:val="0"/>
                <w:numId w:val="14"/>
              </w:numPr>
              <w:jc w:val="left"/>
              <w:rPr>
                <w:sz w:val="22"/>
                <w:szCs w:val="22"/>
              </w:rPr>
            </w:pPr>
            <w:r>
              <w:rPr>
                <w:sz w:val="22"/>
                <w:szCs w:val="22"/>
              </w:rPr>
              <w:t xml:space="preserve">Pupil meet individualised learning targets (Pupil target plans). </w:t>
            </w:r>
          </w:p>
        </w:tc>
      </w:tr>
      <w:tr w:rsidR="00677485" w14:paraId="00A07F04" w14:textId="77777777" w:rsidTr="00C72F26">
        <w:tc>
          <w:tcPr>
            <w:tcW w:w="1555" w:type="dxa"/>
            <w:tcBorders>
              <w:top w:val="single" w:sz="4" w:space="0" w:color="000000"/>
              <w:left w:val="single" w:sz="4" w:space="0" w:color="000000"/>
              <w:bottom w:val="single" w:sz="4" w:space="0" w:color="000000"/>
              <w:right w:val="single" w:sz="4" w:space="0" w:color="000000"/>
            </w:tcBorders>
          </w:tcPr>
          <w:p w14:paraId="4EC9FDF2" w14:textId="6444F196" w:rsidR="00677485" w:rsidRPr="00677485" w:rsidRDefault="00677485" w:rsidP="00677485">
            <w:pPr>
              <w:pStyle w:val="TableRow"/>
              <w:jc w:val="center"/>
              <w:rPr>
                <w:sz w:val="22"/>
                <w:szCs w:val="22"/>
              </w:rPr>
            </w:pPr>
            <w:r>
              <w:rPr>
                <w:sz w:val="22"/>
                <w:szCs w:val="22"/>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40BE9" w14:textId="22ECD591" w:rsidR="00677485" w:rsidRDefault="00F6471F" w:rsidP="0057593C">
            <w:pPr>
              <w:pStyle w:val="TableRow"/>
              <w:rPr>
                <w:sz w:val="22"/>
                <w:szCs w:val="22"/>
              </w:rPr>
            </w:pPr>
            <w:r>
              <w:rPr>
                <w:sz w:val="22"/>
                <w:szCs w:val="22"/>
              </w:rPr>
              <w:t>C</w:t>
            </w:r>
            <w:r w:rsidR="00613FE0">
              <w:rPr>
                <w:sz w:val="22"/>
                <w:szCs w:val="22"/>
              </w:rPr>
              <w:t xml:space="preserve">hildren make </w:t>
            </w:r>
            <w:r>
              <w:rPr>
                <w:sz w:val="22"/>
                <w:szCs w:val="22"/>
              </w:rPr>
              <w:t>at least good</w:t>
            </w:r>
            <w:r w:rsidR="00613FE0">
              <w:rPr>
                <w:sz w:val="22"/>
                <w:szCs w:val="22"/>
              </w:rPr>
              <w:t xml:space="preserve"> progress</w:t>
            </w:r>
            <w:r>
              <w:rPr>
                <w:sz w:val="22"/>
                <w:szCs w:val="22"/>
              </w:rPr>
              <w:t xml:space="preserve"> in writing</w:t>
            </w:r>
            <w:r w:rsidR="00613FE0">
              <w:rPr>
                <w:sz w:val="22"/>
                <w:szCs w:val="22"/>
              </w:rPr>
              <w:t xml:space="preserve"> this academic year</w:t>
            </w:r>
            <w:r w:rsidR="0093692B">
              <w:rPr>
                <w:sz w:val="22"/>
                <w:szCs w:val="22"/>
              </w:rPr>
              <w:t xml:space="preserve"> and have </w:t>
            </w:r>
            <w:r>
              <w:rPr>
                <w:sz w:val="22"/>
                <w:szCs w:val="22"/>
              </w:rPr>
              <w:t xml:space="preserve">the </w:t>
            </w:r>
            <w:r w:rsidR="0093692B">
              <w:rPr>
                <w:sz w:val="22"/>
                <w:szCs w:val="22"/>
              </w:rPr>
              <w:t>opportunity to take pleasure in and celebrate their successes</w:t>
            </w:r>
            <w:r>
              <w:rPr>
                <w:sz w:val="22"/>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9758C" w14:textId="5D211CA7" w:rsidR="00D17DA0" w:rsidRDefault="00F6471F" w:rsidP="00613FE0">
            <w:pPr>
              <w:pStyle w:val="TableRowCentered"/>
              <w:numPr>
                <w:ilvl w:val="0"/>
                <w:numId w:val="14"/>
              </w:numPr>
              <w:jc w:val="left"/>
              <w:rPr>
                <w:sz w:val="22"/>
                <w:szCs w:val="22"/>
              </w:rPr>
            </w:pPr>
            <w:r>
              <w:rPr>
                <w:sz w:val="22"/>
                <w:szCs w:val="22"/>
              </w:rPr>
              <w:t>Assessment identifie</w:t>
            </w:r>
            <w:r w:rsidR="00D17DA0">
              <w:rPr>
                <w:sz w:val="22"/>
                <w:szCs w:val="22"/>
              </w:rPr>
              <w:t>s</w:t>
            </w:r>
            <w:r>
              <w:rPr>
                <w:sz w:val="22"/>
                <w:szCs w:val="22"/>
              </w:rPr>
              <w:t xml:space="preserve"> pupil premium children who are not meeting their potential. </w:t>
            </w:r>
            <w:r w:rsidR="00D17DA0">
              <w:rPr>
                <w:sz w:val="22"/>
                <w:szCs w:val="22"/>
              </w:rPr>
              <w:t>(</w:t>
            </w:r>
            <w:r w:rsidR="00613FE0">
              <w:rPr>
                <w:sz w:val="22"/>
                <w:szCs w:val="22"/>
              </w:rPr>
              <w:t>Pupil voice activities, book scrutinise and planning evidence</w:t>
            </w:r>
            <w:r w:rsidR="00D17DA0">
              <w:rPr>
                <w:sz w:val="22"/>
                <w:szCs w:val="22"/>
              </w:rPr>
              <w:t>, moderation)</w:t>
            </w:r>
          </w:p>
          <w:p w14:paraId="79A9C2BB" w14:textId="3145F00B" w:rsidR="00677485" w:rsidRDefault="00D17DA0" w:rsidP="00613FE0">
            <w:pPr>
              <w:pStyle w:val="TableRowCentered"/>
              <w:numPr>
                <w:ilvl w:val="0"/>
                <w:numId w:val="14"/>
              </w:numPr>
              <w:jc w:val="left"/>
              <w:rPr>
                <w:sz w:val="22"/>
                <w:szCs w:val="22"/>
              </w:rPr>
            </w:pPr>
            <w:r>
              <w:rPr>
                <w:sz w:val="22"/>
                <w:szCs w:val="22"/>
              </w:rPr>
              <w:t>C</w:t>
            </w:r>
            <w:r w:rsidR="00613FE0">
              <w:rPr>
                <w:sz w:val="22"/>
                <w:szCs w:val="22"/>
              </w:rPr>
              <w:t xml:space="preserve">hildren are inspired to write for an audience and supported to write appropriately </w:t>
            </w:r>
            <w:r>
              <w:rPr>
                <w:sz w:val="22"/>
                <w:szCs w:val="22"/>
              </w:rPr>
              <w:t>for a</w:t>
            </w:r>
            <w:r w:rsidR="00613FE0">
              <w:rPr>
                <w:sz w:val="22"/>
                <w:szCs w:val="22"/>
              </w:rPr>
              <w:t xml:space="preserve"> range of genres. </w:t>
            </w:r>
          </w:p>
        </w:tc>
      </w:tr>
      <w:tr w:rsidR="00677485" w14:paraId="4CCB6CBE" w14:textId="77777777" w:rsidTr="00C72F26">
        <w:tc>
          <w:tcPr>
            <w:tcW w:w="1555" w:type="dxa"/>
            <w:tcBorders>
              <w:top w:val="single" w:sz="4" w:space="0" w:color="000000"/>
              <w:left w:val="single" w:sz="4" w:space="0" w:color="000000"/>
              <w:bottom w:val="single" w:sz="4" w:space="0" w:color="000000"/>
              <w:right w:val="single" w:sz="4" w:space="0" w:color="000000"/>
            </w:tcBorders>
          </w:tcPr>
          <w:p w14:paraId="619F4352" w14:textId="43F4EA9F" w:rsidR="00677485" w:rsidRPr="00677485" w:rsidRDefault="00677485" w:rsidP="00677485">
            <w:pPr>
              <w:pStyle w:val="TableRow"/>
              <w:jc w:val="center"/>
              <w:rPr>
                <w:sz w:val="22"/>
                <w:szCs w:val="22"/>
              </w:rPr>
            </w:pPr>
            <w:r>
              <w:rPr>
                <w:sz w:val="22"/>
                <w:szCs w:val="22"/>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57254" w14:textId="6316B60D" w:rsidR="00677485" w:rsidRDefault="0093692B" w:rsidP="0057593C">
            <w:pPr>
              <w:pStyle w:val="TableRow"/>
              <w:rPr>
                <w:sz w:val="22"/>
                <w:szCs w:val="22"/>
              </w:rPr>
            </w:pPr>
            <w:r>
              <w:rPr>
                <w:sz w:val="22"/>
                <w:szCs w:val="22"/>
              </w:rPr>
              <w:t>Families and children value good school attendance in order that pupil</w:t>
            </w:r>
            <w:r w:rsidR="00D17DA0">
              <w:rPr>
                <w:sz w:val="22"/>
                <w:szCs w:val="22"/>
              </w:rPr>
              <w:t>s</w:t>
            </w:r>
            <w:r>
              <w:rPr>
                <w:sz w:val="22"/>
                <w:szCs w:val="22"/>
              </w:rPr>
              <w:t xml:space="preserve"> can access quality first teaching/full curriculum and targeted intervention where appropriate.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E1BCC" w14:textId="77777777" w:rsidR="00677485" w:rsidRDefault="0093692B" w:rsidP="0093692B">
            <w:pPr>
              <w:pStyle w:val="TableRowCentered"/>
              <w:numPr>
                <w:ilvl w:val="0"/>
                <w:numId w:val="14"/>
              </w:numPr>
              <w:jc w:val="left"/>
              <w:rPr>
                <w:sz w:val="22"/>
                <w:szCs w:val="22"/>
              </w:rPr>
            </w:pPr>
            <w:r>
              <w:rPr>
                <w:sz w:val="22"/>
                <w:szCs w:val="22"/>
              </w:rPr>
              <w:t xml:space="preserve">Families engage positively with attendance action plans. </w:t>
            </w:r>
          </w:p>
          <w:p w14:paraId="4351FF87" w14:textId="77777777" w:rsidR="0093692B" w:rsidRDefault="0093692B" w:rsidP="0093692B">
            <w:pPr>
              <w:pStyle w:val="TableRowCentered"/>
              <w:numPr>
                <w:ilvl w:val="0"/>
                <w:numId w:val="14"/>
              </w:numPr>
              <w:jc w:val="left"/>
              <w:rPr>
                <w:sz w:val="22"/>
                <w:szCs w:val="22"/>
              </w:rPr>
            </w:pPr>
            <w:r>
              <w:rPr>
                <w:sz w:val="22"/>
                <w:szCs w:val="22"/>
              </w:rPr>
              <w:t xml:space="preserve">Overall attendance improves for pp children. </w:t>
            </w:r>
          </w:p>
          <w:p w14:paraId="1B5EB841" w14:textId="77777777" w:rsidR="0093692B" w:rsidRDefault="0093692B" w:rsidP="0093692B">
            <w:pPr>
              <w:pStyle w:val="TableRowCentered"/>
              <w:numPr>
                <w:ilvl w:val="0"/>
                <w:numId w:val="14"/>
              </w:numPr>
              <w:jc w:val="left"/>
              <w:rPr>
                <w:sz w:val="22"/>
                <w:szCs w:val="22"/>
              </w:rPr>
            </w:pPr>
            <w:r>
              <w:rPr>
                <w:sz w:val="22"/>
                <w:szCs w:val="22"/>
              </w:rPr>
              <w:t xml:space="preserve">Persistent absenteeism reduces from pp group. </w:t>
            </w:r>
          </w:p>
          <w:p w14:paraId="31CAAFEE" w14:textId="77777777" w:rsidR="00C72F26" w:rsidRDefault="00C72F26" w:rsidP="0093692B">
            <w:pPr>
              <w:pStyle w:val="TableRowCentered"/>
              <w:numPr>
                <w:ilvl w:val="0"/>
                <w:numId w:val="14"/>
              </w:numPr>
              <w:jc w:val="left"/>
              <w:rPr>
                <w:sz w:val="22"/>
                <w:szCs w:val="22"/>
              </w:rPr>
            </w:pPr>
            <w:r>
              <w:rPr>
                <w:sz w:val="22"/>
                <w:szCs w:val="22"/>
              </w:rPr>
              <w:t>Reduction in unauthorised absences.</w:t>
            </w:r>
          </w:p>
          <w:p w14:paraId="256FCAFF" w14:textId="41BB39DC" w:rsidR="00C72F26" w:rsidRDefault="00C72F26" w:rsidP="0093692B">
            <w:pPr>
              <w:pStyle w:val="TableRowCentered"/>
              <w:numPr>
                <w:ilvl w:val="0"/>
                <w:numId w:val="14"/>
              </w:numPr>
              <w:jc w:val="left"/>
              <w:rPr>
                <w:sz w:val="22"/>
                <w:szCs w:val="22"/>
              </w:rPr>
            </w:pPr>
            <w:r>
              <w:rPr>
                <w:sz w:val="22"/>
                <w:szCs w:val="22"/>
              </w:rPr>
              <w:t xml:space="preserve">Parent involvement/communication with school increases. </w:t>
            </w:r>
          </w:p>
        </w:tc>
      </w:tr>
    </w:tbl>
    <w:p w14:paraId="4F50B8A0" w14:textId="1DD4608A" w:rsidR="00A10A5A" w:rsidRDefault="00A10A5A">
      <w:pPr>
        <w:rPr>
          <w:b/>
          <w:color w:val="7030A0"/>
        </w:rPr>
      </w:pPr>
    </w:p>
    <w:p w14:paraId="31E13CC6" w14:textId="77777777" w:rsidR="006524EF" w:rsidRDefault="006524EF">
      <w:pPr>
        <w:rPr>
          <w:b/>
          <w:color w:val="7030A0"/>
        </w:rPr>
      </w:pPr>
    </w:p>
    <w:p w14:paraId="7788499F" w14:textId="24FDA64A" w:rsidR="003468A0" w:rsidRDefault="003468A0">
      <w:pPr>
        <w:rPr>
          <w:b/>
          <w:color w:val="7030A0"/>
        </w:rPr>
      </w:pPr>
      <w:r>
        <w:rPr>
          <w:b/>
          <w:color w:val="7030A0"/>
        </w:rPr>
        <w:t>Activity in this academic year</w:t>
      </w:r>
      <w:r w:rsidR="00841F4A">
        <w:rPr>
          <w:b/>
          <w:color w:val="7030A0"/>
        </w:rPr>
        <w:t xml:space="preserve"> 2021-2022</w:t>
      </w:r>
    </w:p>
    <w:p w14:paraId="4CB6F0D8" w14:textId="49D8744D" w:rsidR="00754F50" w:rsidRPr="006524EF" w:rsidRDefault="00FF4163" w:rsidP="006524EF">
      <w:pPr>
        <w:spacing w:after="480"/>
      </w:pPr>
      <w:r>
        <w:t xml:space="preserve">This details how we intend to spend our pupil premium (and recovery premium funding) </w:t>
      </w:r>
      <w:r>
        <w:rPr>
          <w:b/>
          <w:bCs/>
        </w:rPr>
        <w:t>this academic year</w:t>
      </w:r>
      <w:r>
        <w:t xml:space="preserve"> to address the challenges listed above</w:t>
      </w:r>
    </w:p>
    <w:p w14:paraId="5B0A84E1" w14:textId="5317A237" w:rsidR="003468A0" w:rsidRPr="00754F50" w:rsidRDefault="00504E64">
      <w:pPr>
        <w:rPr>
          <w:b/>
          <w:color w:val="auto"/>
        </w:rPr>
      </w:pPr>
      <w:r w:rsidRPr="00754F50">
        <w:rPr>
          <w:b/>
          <w:color w:val="auto"/>
        </w:rPr>
        <w:t>Teaching (for example, CPD, recruitment and retention)</w:t>
      </w:r>
    </w:p>
    <w:p w14:paraId="7FA7D38F" w14:textId="73EE2283" w:rsidR="00504E64" w:rsidRPr="00754F50" w:rsidRDefault="00504E64">
      <w:pPr>
        <w:rPr>
          <w:b/>
          <w:color w:val="auto"/>
        </w:rPr>
      </w:pPr>
      <w:r w:rsidRPr="00754F50">
        <w:rPr>
          <w:b/>
          <w:color w:val="auto"/>
        </w:rPr>
        <w:t>Budgeted Cost: £</w:t>
      </w:r>
      <w:r w:rsidR="00AE4124">
        <w:rPr>
          <w:b/>
          <w:color w:val="auto"/>
        </w:rPr>
        <w:t>7</w:t>
      </w:r>
      <w:r w:rsidR="00D17DA0">
        <w:rPr>
          <w:b/>
          <w:color w:val="auto"/>
        </w:rPr>
        <w:t>000</w:t>
      </w:r>
    </w:p>
    <w:tbl>
      <w:tblPr>
        <w:tblW w:w="5000" w:type="pct"/>
        <w:tblCellMar>
          <w:left w:w="10" w:type="dxa"/>
          <w:right w:w="10" w:type="dxa"/>
        </w:tblCellMar>
        <w:tblLook w:val="04A0" w:firstRow="1" w:lastRow="0" w:firstColumn="1" w:lastColumn="0" w:noHBand="0" w:noVBand="1"/>
      </w:tblPr>
      <w:tblGrid>
        <w:gridCol w:w="4531"/>
        <w:gridCol w:w="2584"/>
        <w:gridCol w:w="2371"/>
      </w:tblGrid>
      <w:tr w:rsidR="002F39F2" w14:paraId="16ED1314" w14:textId="77777777" w:rsidTr="00A73C37">
        <w:tc>
          <w:tcPr>
            <w:tcW w:w="4531"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3DCBE7D8" w14:textId="77777777" w:rsidR="002F39F2" w:rsidRDefault="002F39F2" w:rsidP="0057593C">
            <w:pPr>
              <w:pStyle w:val="TableHeader"/>
              <w:jc w:val="left"/>
            </w:pPr>
            <w:r>
              <w:t>Activity</w:t>
            </w:r>
          </w:p>
        </w:tc>
        <w:tc>
          <w:tcPr>
            <w:tcW w:w="2584"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528A25EE" w14:textId="77777777" w:rsidR="002F39F2" w:rsidRDefault="002F39F2" w:rsidP="0057593C">
            <w:pPr>
              <w:pStyle w:val="TableHeader"/>
              <w:jc w:val="left"/>
            </w:pPr>
            <w:r>
              <w:t>Evidence that supports this approach</w:t>
            </w:r>
          </w:p>
        </w:tc>
        <w:tc>
          <w:tcPr>
            <w:tcW w:w="2371"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18DDFAD9" w14:textId="77777777" w:rsidR="002F39F2" w:rsidRDefault="002F39F2" w:rsidP="0057593C">
            <w:pPr>
              <w:pStyle w:val="TableHeader"/>
              <w:jc w:val="left"/>
            </w:pPr>
            <w:r>
              <w:t>Challenge number(s) addressed</w:t>
            </w:r>
          </w:p>
        </w:tc>
      </w:tr>
      <w:tr w:rsidR="00A73C37" w14:paraId="17E1F072" w14:textId="77777777" w:rsidTr="0057593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2F707" w14:textId="77777777" w:rsidR="00A73C37" w:rsidRDefault="00A73C37" w:rsidP="00A73C37">
            <w:pPr>
              <w:pStyle w:val="ListParagraph"/>
              <w:numPr>
                <w:ilvl w:val="0"/>
                <w:numId w:val="20"/>
              </w:numPr>
              <w:spacing w:after="0" w:line="240" w:lineRule="auto"/>
              <w:rPr>
                <w:bCs/>
                <w:color w:val="auto"/>
                <w:sz w:val="22"/>
                <w:szCs w:val="22"/>
              </w:rPr>
            </w:pPr>
            <w:r>
              <w:rPr>
                <w:bCs/>
                <w:color w:val="auto"/>
                <w:sz w:val="22"/>
                <w:szCs w:val="22"/>
              </w:rPr>
              <w:t xml:space="preserve">Using EEF research, DfE research, EEF Families of Schools database best practice and Pupil Premium Network continue to gather evidence and keep informed about successful approaches to supporting disadvantaged pupils. </w:t>
            </w:r>
          </w:p>
          <w:p w14:paraId="20019B3E" w14:textId="2A38D3D2" w:rsidR="00A73C37" w:rsidRPr="00A73C37" w:rsidRDefault="00A73C37" w:rsidP="00A73C37">
            <w:pPr>
              <w:pStyle w:val="ListParagraph"/>
              <w:numPr>
                <w:ilvl w:val="0"/>
                <w:numId w:val="20"/>
              </w:numPr>
              <w:spacing w:after="0" w:line="240" w:lineRule="auto"/>
              <w:rPr>
                <w:bCs/>
                <w:color w:val="auto"/>
                <w:sz w:val="22"/>
                <w:szCs w:val="22"/>
              </w:rPr>
            </w:pPr>
            <w:r w:rsidRPr="00A73C37">
              <w:rPr>
                <w:bCs/>
                <w:color w:val="auto"/>
                <w:sz w:val="22"/>
                <w:szCs w:val="22"/>
              </w:rPr>
              <w:t>CPD on assessment (retrieval practice and effective formative assessment), Rosenshine, Metacognition and the importance of the explicit teaching of vocabulary and background knowledge (cultural capital)</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4F5B" w14:textId="77777777" w:rsidR="00A73C37" w:rsidRDefault="00A73C37" w:rsidP="00A73C37">
            <w:pPr>
              <w:pStyle w:val="TableRowCentered"/>
              <w:jc w:val="left"/>
              <w:rPr>
                <w:sz w:val="22"/>
              </w:rPr>
            </w:pPr>
          </w:p>
          <w:p w14:paraId="4EF5656D" w14:textId="742263BE" w:rsidR="001705DB" w:rsidRDefault="001705DB" w:rsidP="00A73C37">
            <w:pPr>
              <w:pStyle w:val="TableRowCentered"/>
              <w:jc w:val="left"/>
              <w:rPr>
                <w:sz w:val="22"/>
              </w:rPr>
            </w:pPr>
            <w:r>
              <w:rPr>
                <w:sz w:val="22"/>
              </w:rPr>
              <w:t xml:space="preserve">DfE guidance </w:t>
            </w:r>
          </w:p>
          <w:p w14:paraId="4DB88853" w14:textId="77777777" w:rsidR="001705DB" w:rsidRDefault="001705DB" w:rsidP="00A73C37">
            <w:pPr>
              <w:pStyle w:val="TableRowCentered"/>
              <w:jc w:val="left"/>
              <w:rPr>
                <w:sz w:val="22"/>
              </w:rPr>
            </w:pPr>
          </w:p>
          <w:p w14:paraId="71E747E3" w14:textId="4615A5AE" w:rsidR="001705DB" w:rsidRDefault="001705DB" w:rsidP="00A73C37">
            <w:pPr>
              <w:pStyle w:val="TableRowCentered"/>
              <w:jc w:val="left"/>
              <w:rPr>
                <w:sz w:val="22"/>
              </w:rPr>
            </w:pPr>
            <w:r>
              <w:rPr>
                <w:sz w:val="22"/>
              </w:rPr>
              <w:t>Based on Rosenshine’s principles of instruction research</w:t>
            </w:r>
          </w:p>
          <w:p w14:paraId="532E9CCA" w14:textId="77777777" w:rsidR="001705DB" w:rsidRDefault="001705DB" w:rsidP="001705DB">
            <w:pPr>
              <w:pStyle w:val="TableRowCentered"/>
              <w:ind w:left="0"/>
              <w:jc w:val="left"/>
              <w:rPr>
                <w:sz w:val="22"/>
              </w:rPr>
            </w:pPr>
          </w:p>
          <w:p w14:paraId="1089D332" w14:textId="478185A6" w:rsidR="001705DB" w:rsidRDefault="001705DB" w:rsidP="00A73C37">
            <w:pPr>
              <w:pStyle w:val="TableRowCentered"/>
              <w:jc w:val="left"/>
              <w:rPr>
                <w:sz w:val="22"/>
              </w:rPr>
            </w:pPr>
            <w:r>
              <w:rPr>
                <w:sz w:val="22"/>
              </w:rPr>
              <w:t>EEF evidence:</w:t>
            </w:r>
          </w:p>
          <w:p w14:paraId="1AB1A3DF" w14:textId="77777777" w:rsidR="001705DB" w:rsidRDefault="001705DB" w:rsidP="00A73C37">
            <w:pPr>
              <w:pStyle w:val="TableRowCentered"/>
              <w:jc w:val="left"/>
              <w:rPr>
                <w:sz w:val="22"/>
              </w:rPr>
            </w:pPr>
            <w:r>
              <w:rPr>
                <w:sz w:val="22"/>
              </w:rPr>
              <w:t>Feedback +6 months</w:t>
            </w:r>
          </w:p>
          <w:p w14:paraId="0A9A744B" w14:textId="77777777" w:rsidR="001705DB" w:rsidRDefault="001705DB" w:rsidP="00A73C37">
            <w:pPr>
              <w:pStyle w:val="TableRowCentered"/>
              <w:jc w:val="left"/>
              <w:rPr>
                <w:sz w:val="22"/>
              </w:rPr>
            </w:pPr>
          </w:p>
          <w:p w14:paraId="78AD5D1B" w14:textId="06A3D4BA" w:rsidR="001705DB" w:rsidRDefault="001705DB" w:rsidP="00A73C37">
            <w:pPr>
              <w:pStyle w:val="TableRowCentered"/>
              <w:jc w:val="left"/>
              <w:rPr>
                <w:sz w:val="22"/>
              </w:rPr>
            </w:pPr>
            <w:r>
              <w:rPr>
                <w:sz w:val="22"/>
              </w:rPr>
              <w:t>Oral language interventions + 6 months</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28F27" w14:textId="3E11C455" w:rsidR="00A73C37" w:rsidRPr="00A73C37" w:rsidRDefault="00A73C37" w:rsidP="00A73C37">
            <w:pPr>
              <w:pStyle w:val="TableRowCentered"/>
              <w:jc w:val="left"/>
              <w:rPr>
                <w:bCs/>
                <w:color w:val="auto"/>
              </w:rPr>
            </w:pPr>
          </w:p>
          <w:p w14:paraId="2DD9CEDE" w14:textId="7014F849" w:rsidR="00A73C37" w:rsidRDefault="00A73C37" w:rsidP="00A73C37">
            <w:pPr>
              <w:pStyle w:val="TableRowCentered"/>
              <w:jc w:val="left"/>
              <w:rPr>
                <w:sz w:val="22"/>
              </w:rPr>
            </w:pPr>
            <w:r>
              <w:t>2, 3</w:t>
            </w:r>
          </w:p>
        </w:tc>
      </w:tr>
      <w:tr w:rsidR="00A73C37" w14:paraId="295DC5F9" w14:textId="77777777" w:rsidTr="0057593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BEE50" w14:textId="77777777" w:rsidR="00A73C37" w:rsidRDefault="00A73C37" w:rsidP="00A73C37">
            <w:pPr>
              <w:pStyle w:val="ListParagraph"/>
              <w:numPr>
                <w:ilvl w:val="0"/>
                <w:numId w:val="20"/>
              </w:numPr>
              <w:spacing w:after="0" w:line="240" w:lineRule="auto"/>
              <w:rPr>
                <w:bCs/>
                <w:color w:val="auto"/>
                <w:sz w:val="22"/>
                <w:szCs w:val="22"/>
              </w:rPr>
            </w:pPr>
            <w:r w:rsidRPr="0019600C">
              <w:rPr>
                <w:bCs/>
                <w:color w:val="auto"/>
                <w:sz w:val="22"/>
                <w:szCs w:val="22"/>
              </w:rPr>
              <w:t>Work with the English Hub to</w:t>
            </w:r>
            <w:r>
              <w:rPr>
                <w:bCs/>
                <w:color w:val="auto"/>
                <w:sz w:val="22"/>
                <w:szCs w:val="22"/>
              </w:rPr>
              <w:t xml:space="preserve"> identify the most appropriate </w:t>
            </w:r>
            <w:r w:rsidRPr="00EA7745">
              <w:rPr>
                <w:bCs/>
                <w:color w:val="auto"/>
                <w:sz w:val="22"/>
                <w:szCs w:val="22"/>
              </w:rPr>
              <w:t>systemic synthetic phonics</w:t>
            </w:r>
            <w:r>
              <w:rPr>
                <w:bCs/>
                <w:color w:val="auto"/>
                <w:sz w:val="22"/>
                <w:szCs w:val="22"/>
              </w:rPr>
              <w:t xml:space="preserve"> programme on the validated list. </w:t>
            </w:r>
          </w:p>
          <w:p w14:paraId="51D1F811" w14:textId="540D6F84" w:rsidR="00A73C37" w:rsidRPr="00A73C37" w:rsidRDefault="00A73C37" w:rsidP="00A73C37">
            <w:pPr>
              <w:pStyle w:val="ListParagraph"/>
              <w:numPr>
                <w:ilvl w:val="0"/>
                <w:numId w:val="20"/>
              </w:numPr>
              <w:spacing w:after="0" w:line="240" w:lineRule="auto"/>
              <w:rPr>
                <w:bCs/>
                <w:color w:val="auto"/>
                <w:sz w:val="22"/>
                <w:szCs w:val="22"/>
              </w:rPr>
            </w:pPr>
            <w:r w:rsidRPr="00A73C37">
              <w:rPr>
                <w:bCs/>
                <w:color w:val="auto"/>
                <w:sz w:val="22"/>
                <w:szCs w:val="22"/>
              </w:rPr>
              <w:t xml:space="preserve">Work with the English Hub to plan and implement the roll out of the selected SSP including a programme of high-quality phonics training to ensure consistency across the school. </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7A56C" w14:textId="77777777" w:rsidR="00A73C37" w:rsidRDefault="00A73C37" w:rsidP="00A73C37">
            <w:pPr>
              <w:pStyle w:val="TableRowCentered"/>
              <w:jc w:val="left"/>
              <w:rPr>
                <w:sz w:val="22"/>
              </w:rPr>
            </w:pPr>
          </w:p>
          <w:p w14:paraId="57872E2E" w14:textId="77777777" w:rsidR="001705DB" w:rsidRDefault="001705DB" w:rsidP="00A73C37">
            <w:pPr>
              <w:pStyle w:val="TableRowCentered"/>
              <w:jc w:val="left"/>
              <w:rPr>
                <w:sz w:val="22"/>
              </w:rPr>
            </w:pPr>
            <w:r>
              <w:rPr>
                <w:sz w:val="22"/>
              </w:rPr>
              <w:t>EEF evidence :</w:t>
            </w:r>
          </w:p>
          <w:p w14:paraId="7F2675EB" w14:textId="43A0869C" w:rsidR="001705DB" w:rsidRDefault="001705DB" w:rsidP="00A73C37">
            <w:pPr>
              <w:pStyle w:val="TableRowCentered"/>
              <w:jc w:val="left"/>
              <w:rPr>
                <w:sz w:val="22"/>
              </w:rPr>
            </w:pPr>
            <w:r>
              <w:rPr>
                <w:sz w:val="22"/>
              </w:rPr>
              <w:t xml:space="preserve">Phonics focus + 5 months </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6BF19" w14:textId="26AE553D" w:rsidR="00A73C37" w:rsidRDefault="00A73C37" w:rsidP="00A73C37">
            <w:pPr>
              <w:pStyle w:val="TableRowCentered"/>
              <w:jc w:val="left"/>
              <w:rPr>
                <w:sz w:val="22"/>
              </w:rPr>
            </w:pPr>
            <w:r>
              <w:t>2, 3</w:t>
            </w:r>
          </w:p>
        </w:tc>
      </w:tr>
      <w:tr w:rsidR="00A73C37" w14:paraId="7B980638" w14:textId="77777777" w:rsidTr="0057593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9459" w14:textId="77777777" w:rsidR="00A73C37" w:rsidRPr="0019600C" w:rsidRDefault="00A73C37" w:rsidP="00A73C37">
            <w:pPr>
              <w:pStyle w:val="ListParagraph"/>
              <w:numPr>
                <w:ilvl w:val="0"/>
                <w:numId w:val="21"/>
              </w:numPr>
              <w:spacing w:after="0" w:line="240" w:lineRule="auto"/>
              <w:rPr>
                <w:bCs/>
                <w:color w:val="auto"/>
                <w:sz w:val="22"/>
                <w:szCs w:val="22"/>
              </w:rPr>
            </w:pPr>
            <w:r w:rsidRPr="0019600C">
              <w:rPr>
                <w:bCs/>
                <w:color w:val="auto"/>
                <w:sz w:val="22"/>
                <w:szCs w:val="22"/>
              </w:rPr>
              <w:t>Lead inset and staff meeting sessions on the use of assessment in phonics</w:t>
            </w:r>
            <w:r>
              <w:rPr>
                <w:bCs/>
                <w:color w:val="auto"/>
                <w:sz w:val="22"/>
                <w:szCs w:val="22"/>
              </w:rPr>
              <w:t xml:space="preserve">/spelling </w:t>
            </w:r>
            <w:r w:rsidRPr="0019600C">
              <w:rPr>
                <w:bCs/>
                <w:color w:val="auto"/>
                <w:sz w:val="22"/>
                <w:szCs w:val="22"/>
              </w:rPr>
              <w:t xml:space="preserve">and writing to ensure teaching addresses specific weaknesses in PP pupils writing. </w:t>
            </w:r>
          </w:p>
          <w:p w14:paraId="193838D0" w14:textId="5FCED380" w:rsidR="00A73C37" w:rsidRPr="0019600C" w:rsidRDefault="00A73C37" w:rsidP="00A73C37">
            <w:pPr>
              <w:pStyle w:val="ListParagraph"/>
              <w:numPr>
                <w:ilvl w:val="0"/>
                <w:numId w:val="14"/>
              </w:numPr>
              <w:spacing w:after="0" w:line="240" w:lineRule="auto"/>
              <w:rPr>
                <w:bCs/>
                <w:color w:val="auto"/>
                <w:sz w:val="22"/>
                <w:szCs w:val="22"/>
              </w:rPr>
            </w:pPr>
            <w:r w:rsidRPr="0019600C">
              <w:rPr>
                <w:bCs/>
                <w:color w:val="auto"/>
                <w:sz w:val="22"/>
                <w:szCs w:val="22"/>
              </w:rPr>
              <w:t>Work in partnership with SEN</w:t>
            </w:r>
            <w:r>
              <w:rPr>
                <w:bCs/>
                <w:color w:val="auto"/>
                <w:sz w:val="22"/>
                <w:szCs w:val="22"/>
              </w:rPr>
              <w:t>D</w:t>
            </w:r>
            <w:r w:rsidRPr="0019600C">
              <w:rPr>
                <w:bCs/>
                <w:color w:val="auto"/>
                <w:sz w:val="22"/>
                <w:szCs w:val="22"/>
              </w:rPr>
              <w:t xml:space="preserve">CO and teachers to plan, implement and review a </w:t>
            </w:r>
            <w:r>
              <w:rPr>
                <w:bCs/>
                <w:color w:val="auto"/>
                <w:sz w:val="22"/>
                <w:szCs w:val="22"/>
              </w:rPr>
              <w:t xml:space="preserve">rigorous </w:t>
            </w:r>
            <w:r w:rsidRPr="0019600C">
              <w:rPr>
                <w:bCs/>
                <w:color w:val="auto"/>
                <w:sz w:val="22"/>
                <w:szCs w:val="22"/>
              </w:rPr>
              <w:t>phonic</w:t>
            </w:r>
            <w:r>
              <w:rPr>
                <w:bCs/>
                <w:color w:val="auto"/>
                <w:sz w:val="22"/>
                <w:szCs w:val="22"/>
              </w:rPr>
              <w:t>s/reading</w:t>
            </w:r>
            <w:r w:rsidRPr="0019600C">
              <w:rPr>
                <w:bCs/>
                <w:color w:val="auto"/>
                <w:sz w:val="22"/>
                <w:szCs w:val="22"/>
              </w:rPr>
              <w:t xml:space="preserve"> catch up programme. </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27B6" w14:textId="77777777" w:rsidR="001705DB" w:rsidRDefault="001705DB" w:rsidP="001705DB">
            <w:pPr>
              <w:pStyle w:val="TableRowCentered"/>
              <w:jc w:val="left"/>
              <w:rPr>
                <w:sz w:val="22"/>
              </w:rPr>
            </w:pPr>
            <w:r>
              <w:rPr>
                <w:sz w:val="22"/>
              </w:rPr>
              <w:t>EEF evidence :</w:t>
            </w:r>
          </w:p>
          <w:p w14:paraId="5AB9A988" w14:textId="77777777" w:rsidR="00A73C37" w:rsidRDefault="001705DB" w:rsidP="001705DB">
            <w:pPr>
              <w:pStyle w:val="TableRowCentered"/>
              <w:jc w:val="left"/>
              <w:rPr>
                <w:sz w:val="22"/>
              </w:rPr>
            </w:pPr>
            <w:r>
              <w:rPr>
                <w:sz w:val="22"/>
              </w:rPr>
              <w:t>Phonics focus + 5 months</w:t>
            </w:r>
          </w:p>
          <w:p w14:paraId="1FA9BA8C" w14:textId="3DF3CBBC" w:rsidR="001705DB" w:rsidRDefault="001705DB" w:rsidP="001705DB">
            <w:pPr>
              <w:pStyle w:val="TableRowCentered"/>
              <w:jc w:val="left"/>
              <w:rPr>
                <w:sz w:val="22"/>
              </w:rPr>
            </w:pPr>
            <w:r>
              <w:rPr>
                <w:sz w:val="22"/>
              </w:rPr>
              <w:t>Feedback + 6 months</w:t>
            </w:r>
          </w:p>
          <w:p w14:paraId="1CE850BE" w14:textId="7C0A9B46" w:rsidR="001705DB" w:rsidRDefault="001705DB" w:rsidP="001705DB">
            <w:pPr>
              <w:pStyle w:val="TableRowCentered"/>
              <w:jc w:val="left"/>
              <w:rPr>
                <w:sz w:val="22"/>
              </w:rPr>
            </w:pPr>
            <w:r>
              <w:rPr>
                <w:sz w:val="22"/>
              </w:rPr>
              <w:t>Teaching assistant intervention + 4 months</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E3FF3" w14:textId="327A0A87" w:rsidR="00A73C37" w:rsidRDefault="00A73C37" w:rsidP="00A73C37">
            <w:pPr>
              <w:pStyle w:val="TableRowCentered"/>
              <w:jc w:val="left"/>
              <w:rPr>
                <w:sz w:val="22"/>
              </w:rPr>
            </w:pPr>
            <w:r>
              <w:t>2, 3</w:t>
            </w:r>
          </w:p>
        </w:tc>
      </w:tr>
      <w:tr w:rsidR="00A73C37" w14:paraId="5E91468A" w14:textId="77777777" w:rsidTr="00A73C3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143F" w14:textId="77777777" w:rsidR="00A73C37" w:rsidRDefault="00A73C37" w:rsidP="00A73C37">
            <w:pPr>
              <w:pStyle w:val="ListParagraph"/>
              <w:numPr>
                <w:ilvl w:val="0"/>
                <w:numId w:val="21"/>
              </w:numPr>
              <w:spacing w:after="0" w:line="240" w:lineRule="auto"/>
              <w:rPr>
                <w:bCs/>
                <w:color w:val="auto"/>
                <w:sz w:val="22"/>
                <w:szCs w:val="22"/>
              </w:rPr>
            </w:pPr>
            <w:r w:rsidRPr="0019600C">
              <w:rPr>
                <w:bCs/>
                <w:color w:val="auto"/>
                <w:sz w:val="22"/>
                <w:szCs w:val="22"/>
              </w:rPr>
              <w:t xml:space="preserve">Buy and embed the use of Fiction express across all year groups to further promote reading for pleasure, reading at home and online engagement with books. </w:t>
            </w:r>
          </w:p>
          <w:p w14:paraId="2FB16EE2" w14:textId="77777777" w:rsidR="00A73C37" w:rsidRDefault="00A73C37" w:rsidP="00A73C37">
            <w:pPr>
              <w:pStyle w:val="ListParagraph"/>
              <w:numPr>
                <w:ilvl w:val="0"/>
                <w:numId w:val="21"/>
              </w:numPr>
              <w:spacing w:after="0" w:line="240" w:lineRule="auto"/>
              <w:rPr>
                <w:bCs/>
                <w:color w:val="auto"/>
                <w:sz w:val="22"/>
                <w:szCs w:val="22"/>
              </w:rPr>
            </w:pPr>
            <w:r>
              <w:rPr>
                <w:bCs/>
                <w:color w:val="auto"/>
                <w:sz w:val="22"/>
                <w:szCs w:val="22"/>
              </w:rPr>
              <w:t xml:space="preserve">Use RFP pedagogy </w:t>
            </w:r>
            <w:hyperlink r:id="rId13" w:history="1">
              <w:r w:rsidRPr="00C5783F">
                <w:rPr>
                  <w:rStyle w:val="Hyperlink"/>
                  <w:bCs/>
                  <w:sz w:val="22"/>
                  <w:szCs w:val="22"/>
                </w:rPr>
                <w:t>https://ourfp.org/reading-for-pleasure-pedagogy/</w:t>
              </w:r>
            </w:hyperlink>
          </w:p>
          <w:p w14:paraId="44F79E35" w14:textId="77777777" w:rsidR="00A73C37" w:rsidRDefault="00A73C37" w:rsidP="00A73C37">
            <w:pPr>
              <w:pStyle w:val="ListParagraph"/>
              <w:numPr>
                <w:ilvl w:val="0"/>
                <w:numId w:val="0"/>
              </w:numPr>
              <w:spacing w:after="0" w:line="240" w:lineRule="auto"/>
              <w:ind w:left="720"/>
              <w:rPr>
                <w:bCs/>
                <w:color w:val="auto"/>
                <w:sz w:val="22"/>
                <w:szCs w:val="22"/>
              </w:rPr>
            </w:pPr>
            <w:r w:rsidRPr="002B7C3B">
              <w:rPr>
                <w:bCs/>
                <w:color w:val="auto"/>
                <w:sz w:val="22"/>
                <w:szCs w:val="22"/>
              </w:rPr>
              <w:t>to develop children’s RfP alongside and as complementary to reading instruction</w:t>
            </w:r>
            <w:r>
              <w:rPr>
                <w:bCs/>
                <w:color w:val="auto"/>
                <w:sz w:val="22"/>
                <w:szCs w:val="22"/>
              </w:rPr>
              <w:t xml:space="preserve"> e.g: </w:t>
            </w:r>
          </w:p>
          <w:p w14:paraId="6A7D2361" w14:textId="77777777" w:rsidR="00A73C37" w:rsidRDefault="00A73C37" w:rsidP="00A73C37">
            <w:pPr>
              <w:pStyle w:val="ListParagraph"/>
              <w:numPr>
                <w:ilvl w:val="1"/>
                <w:numId w:val="21"/>
              </w:numPr>
              <w:spacing w:after="0" w:line="240" w:lineRule="auto"/>
              <w:rPr>
                <w:bCs/>
                <w:color w:val="auto"/>
                <w:sz w:val="22"/>
                <w:szCs w:val="22"/>
              </w:rPr>
            </w:pPr>
            <w:r>
              <w:rPr>
                <w:bCs/>
                <w:color w:val="auto"/>
                <w:sz w:val="22"/>
                <w:szCs w:val="22"/>
              </w:rPr>
              <w:t>Develop social reading environments</w:t>
            </w:r>
          </w:p>
          <w:p w14:paraId="5DC32F0E" w14:textId="77777777" w:rsidR="00A73C37" w:rsidRDefault="00A73C37" w:rsidP="00A73C37">
            <w:pPr>
              <w:pStyle w:val="ListParagraph"/>
              <w:numPr>
                <w:ilvl w:val="1"/>
                <w:numId w:val="21"/>
              </w:numPr>
              <w:spacing w:after="0" w:line="240" w:lineRule="auto"/>
              <w:rPr>
                <w:bCs/>
                <w:color w:val="auto"/>
                <w:sz w:val="22"/>
                <w:szCs w:val="22"/>
              </w:rPr>
            </w:pPr>
            <w:r>
              <w:rPr>
                <w:bCs/>
                <w:color w:val="auto"/>
                <w:sz w:val="22"/>
                <w:szCs w:val="22"/>
              </w:rPr>
              <w:t>Daily read aloud from wide range of genres</w:t>
            </w:r>
          </w:p>
          <w:p w14:paraId="23F11EBA" w14:textId="77777777" w:rsidR="00A73C37" w:rsidRDefault="00A73C37" w:rsidP="00A73C37">
            <w:pPr>
              <w:pStyle w:val="ListParagraph"/>
              <w:numPr>
                <w:ilvl w:val="1"/>
                <w:numId w:val="21"/>
              </w:numPr>
              <w:spacing w:after="0" w:line="240" w:lineRule="auto"/>
              <w:rPr>
                <w:bCs/>
                <w:color w:val="auto"/>
                <w:sz w:val="22"/>
                <w:szCs w:val="22"/>
              </w:rPr>
            </w:pPr>
            <w:r>
              <w:rPr>
                <w:bCs/>
                <w:color w:val="auto"/>
                <w:sz w:val="22"/>
                <w:szCs w:val="22"/>
              </w:rPr>
              <w:t>Informal book talk e.g. book blanket, book rivers, book blether</w:t>
            </w:r>
          </w:p>
          <w:p w14:paraId="0E188DBE" w14:textId="74349BF6" w:rsidR="00A73C37" w:rsidRPr="0019600C" w:rsidRDefault="00A73C37" w:rsidP="00A73C37">
            <w:pPr>
              <w:pStyle w:val="ListParagraph"/>
              <w:numPr>
                <w:ilvl w:val="0"/>
                <w:numId w:val="15"/>
              </w:numPr>
              <w:spacing w:after="0" w:line="240" w:lineRule="auto"/>
              <w:rPr>
                <w:bCs/>
                <w:color w:val="auto"/>
                <w:sz w:val="22"/>
                <w:szCs w:val="22"/>
              </w:rPr>
            </w:pPr>
            <w:r>
              <w:rPr>
                <w:bCs/>
                <w:color w:val="auto"/>
                <w:sz w:val="22"/>
                <w:szCs w:val="22"/>
              </w:rPr>
              <w:t>Daily Independent reading time</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7BB41" w14:textId="77777777" w:rsidR="001705DB" w:rsidRDefault="001705DB" w:rsidP="001705DB">
            <w:pPr>
              <w:pStyle w:val="TableRowCentered"/>
              <w:jc w:val="left"/>
              <w:rPr>
                <w:sz w:val="22"/>
              </w:rPr>
            </w:pPr>
            <w:r>
              <w:rPr>
                <w:sz w:val="22"/>
              </w:rPr>
              <w:t>EEF evidence :</w:t>
            </w:r>
          </w:p>
          <w:p w14:paraId="524299D8" w14:textId="77777777" w:rsidR="00A73C37" w:rsidRDefault="001705DB" w:rsidP="00A73C37">
            <w:pPr>
              <w:pStyle w:val="TableRowCentered"/>
              <w:jc w:val="left"/>
              <w:rPr>
                <w:sz w:val="22"/>
              </w:rPr>
            </w:pPr>
            <w:r>
              <w:rPr>
                <w:sz w:val="22"/>
              </w:rPr>
              <w:t xml:space="preserve">Parental engagement + 4 months </w:t>
            </w:r>
          </w:p>
          <w:p w14:paraId="5F025E87" w14:textId="31755784" w:rsidR="001705DB" w:rsidRDefault="004C37E8" w:rsidP="00A73C37">
            <w:pPr>
              <w:pStyle w:val="TableRowCentered"/>
              <w:jc w:val="left"/>
              <w:rPr>
                <w:sz w:val="22"/>
              </w:rPr>
            </w:pPr>
            <w:r>
              <w:rPr>
                <w:sz w:val="22"/>
              </w:rPr>
              <w:t>Phonics focus + 5 months</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15D32" w14:textId="1130A456" w:rsidR="00A73C37" w:rsidRDefault="00A73C37" w:rsidP="00A73C37">
            <w:pPr>
              <w:pStyle w:val="TableRowCentered"/>
              <w:jc w:val="left"/>
              <w:rPr>
                <w:sz w:val="22"/>
              </w:rPr>
            </w:pPr>
            <w:r>
              <w:t>2, 3</w:t>
            </w:r>
          </w:p>
        </w:tc>
      </w:tr>
      <w:tr w:rsidR="00A73C37" w14:paraId="166ADF52" w14:textId="77777777" w:rsidTr="00A73C3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60CDB" w14:textId="77777777" w:rsidR="00A73C37" w:rsidRPr="0019600C" w:rsidRDefault="00A73C37" w:rsidP="00A73C37">
            <w:pPr>
              <w:pStyle w:val="ListParagraph"/>
              <w:numPr>
                <w:ilvl w:val="0"/>
                <w:numId w:val="21"/>
              </w:numPr>
              <w:spacing w:after="0" w:line="240" w:lineRule="auto"/>
              <w:ind w:left="714" w:hanging="357"/>
              <w:rPr>
                <w:bCs/>
                <w:color w:val="auto"/>
                <w:sz w:val="22"/>
                <w:szCs w:val="22"/>
              </w:rPr>
            </w:pPr>
            <w:r w:rsidRPr="0019600C">
              <w:rPr>
                <w:bCs/>
                <w:color w:val="auto"/>
                <w:sz w:val="22"/>
                <w:szCs w:val="22"/>
              </w:rPr>
              <w:t>9 modules of training for PP leader</w:t>
            </w:r>
          </w:p>
          <w:p w14:paraId="0C27ECA7" w14:textId="77777777" w:rsidR="00A73C37" w:rsidRPr="0019600C" w:rsidRDefault="00A73C37" w:rsidP="00A73C37">
            <w:pPr>
              <w:pStyle w:val="ListParagraph"/>
              <w:numPr>
                <w:ilvl w:val="0"/>
                <w:numId w:val="21"/>
              </w:numPr>
              <w:spacing w:after="0" w:line="240" w:lineRule="auto"/>
              <w:ind w:left="714" w:hanging="357"/>
              <w:rPr>
                <w:bCs/>
                <w:color w:val="auto"/>
                <w:sz w:val="22"/>
                <w:szCs w:val="22"/>
              </w:rPr>
            </w:pPr>
            <w:r w:rsidRPr="0019600C">
              <w:rPr>
                <w:bCs/>
                <w:color w:val="auto"/>
                <w:sz w:val="22"/>
                <w:szCs w:val="22"/>
              </w:rPr>
              <w:t>Staff meetings (4 across the year) to disseminate training</w:t>
            </w:r>
          </w:p>
          <w:p w14:paraId="7426FF72" w14:textId="72AE73E5" w:rsidR="00A73C37" w:rsidRPr="0019600C" w:rsidRDefault="00A73C37" w:rsidP="00A73C37">
            <w:pPr>
              <w:pStyle w:val="ListParagraph"/>
              <w:numPr>
                <w:ilvl w:val="0"/>
                <w:numId w:val="15"/>
              </w:numPr>
              <w:spacing w:after="0" w:line="240" w:lineRule="auto"/>
              <w:rPr>
                <w:bCs/>
                <w:color w:val="auto"/>
                <w:sz w:val="22"/>
                <w:szCs w:val="22"/>
              </w:rPr>
            </w:pPr>
            <w:r w:rsidRPr="0019600C">
              <w:rPr>
                <w:bCs/>
                <w:color w:val="auto"/>
                <w:sz w:val="22"/>
                <w:szCs w:val="22"/>
              </w:rPr>
              <w:t>Gap tasks between training – school-based research</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9F98" w14:textId="1C86B59B" w:rsidR="00A73C37" w:rsidRDefault="00051C54" w:rsidP="00A73C37">
            <w:pPr>
              <w:pStyle w:val="TableRowCentered"/>
              <w:jc w:val="left"/>
              <w:rPr>
                <w:sz w:val="22"/>
              </w:rPr>
            </w:pPr>
            <w:r>
              <w:rPr>
                <w:rFonts w:cs="Arial"/>
                <w:sz w:val="22"/>
                <w:szCs w:val="22"/>
                <w:shd w:val="clear" w:color="auto" w:fill="FAF9F8"/>
              </w:rPr>
              <w:t xml:space="preserve">EEF –Guide to the Pupil Premium ‘Good teaching is the most important lever schools have to improve outcomes for disadvantaged pupils.’ </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4258" w14:textId="3106582D" w:rsidR="00A73C37" w:rsidRDefault="00A73C37" w:rsidP="00A73C37">
            <w:pPr>
              <w:pStyle w:val="TableRowCentered"/>
              <w:jc w:val="left"/>
              <w:rPr>
                <w:sz w:val="22"/>
              </w:rPr>
            </w:pPr>
            <w:r>
              <w:rPr>
                <w:bCs/>
                <w:color w:val="auto"/>
              </w:rPr>
              <w:t>1,2,3,4</w:t>
            </w:r>
          </w:p>
        </w:tc>
      </w:tr>
    </w:tbl>
    <w:p w14:paraId="392A157D" w14:textId="006F315F" w:rsidR="00504E64" w:rsidRDefault="00504E64">
      <w:pPr>
        <w:rPr>
          <w:b/>
          <w:color w:val="7030A0"/>
        </w:rPr>
      </w:pPr>
    </w:p>
    <w:p w14:paraId="44C5B2E9" w14:textId="66AA92E6" w:rsidR="002F39F2" w:rsidRPr="00754F50" w:rsidRDefault="002F39F2">
      <w:pPr>
        <w:rPr>
          <w:b/>
          <w:color w:val="auto"/>
        </w:rPr>
      </w:pPr>
      <w:r w:rsidRPr="00754F50">
        <w:rPr>
          <w:b/>
          <w:color w:val="auto"/>
        </w:rPr>
        <w:t>Targeted Academic Support (for example tutoring, one to one support, structured interventions)</w:t>
      </w:r>
    </w:p>
    <w:p w14:paraId="38D25C25" w14:textId="07CD5AED" w:rsidR="002F39F2" w:rsidRPr="00754F50" w:rsidRDefault="002F39F2">
      <w:pPr>
        <w:rPr>
          <w:b/>
          <w:color w:val="auto"/>
        </w:rPr>
      </w:pPr>
      <w:r w:rsidRPr="00754F50">
        <w:rPr>
          <w:b/>
          <w:color w:val="auto"/>
        </w:rPr>
        <w:t xml:space="preserve">Budgeted Cost: </w:t>
      </w:r>
      <w:r w:rsidR="007512D5" w:rsidRPr="00754F50">
        <w:rPr>
          <w:b/>
          <w:color w:val="auto"/>
        </w:rPr>
        <w:t>£</w:t>
      </w:r>
      <w:r w:rsidR="00D17DA0">
        <w:rPr>
          <w:b/>
          <w:color w:val="auto"/>
        </w:rPr>
        <w:t>9,000</w:t>
      </w:r>
    </w:p>
    <w:tbl>
      <w:tblPr>
        <w:tblW w:w="5000" w:type="pct"/>
        <w:tblCellMar>
          <w:left w:w="10" w:type="dxa"/>
          <w:right w:w="10" w:type="dxa"/>
        </w:tblCellMar>
        <w:tblLook w:val="04A0" w:firstRow="1" w:lastRow="0" w:firstColumn="1" w:lastColumn="0" w:noHBand="0" w:noVBand="1"/>
      </w:tblPr>
      <w:tblGrid>
        <w:gridCol w:w="4531"/>
        <w:gridCol w:w="2552"/>
        <w:gridCol w:w="2403"/>
      </w:tblGrid>
      <w:tr w:rsidR="00A84DE7" w14:paraId="184BAAC0" w14:textId="77777777" w:rsidTr="001D7854">
        <w:tc>
          <w:tcPr>
            <w:tcW w:w="4531"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002993BE" w14:textId="77777777" w:rsidR="00A84DE7" w:rsidRDefault="00A84DE7" w:rsidP="0057593C">
            <w:pPr>
              <w:pStyle w:val="TableHeader"/>
              <w:jc w:val="left"/>
            </w:pPr>
            <w:r>
              <w:t>Activity</w:t>
            </w:r>
          </w:p>
        </w:tc>
        <w:tc>
          <w:tcPr>
            <w:tcW w:w="2552"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5615979F" w14:textId="77777777" w:rsidR="00A84DE7" w:rsidRDefault="00A84DE7" w:rsidP="0057593C">
            <w:pPr>
              <w:pStyle w:val="TableHeader"/>
              <w:jc w:val="left"/>
            </w:pPr>
            <w: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15668010" w14:textId="77777777" w:rsidR="00A84DE7" w:rsidRDefault="00A84DE7" w:rsidP="0057593C">
            <w:pPr>
              <w:pStyle w:val="TableHeader"/>
              <w:jc w:val="left"/>
            </w:pPr>
            <w:r>
              <w:t>Challenge number(s) addressed</w:t>
            </w:r>
          </w:p>
        </w:tc>
      </w:tr>
      <w:tr w:rsidR="001D7854" w14:paraId="275D3F17" w14:textId="77777777" w:rsidTr="001D785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4D99" w14:textId="77777777" w:rsidR="001D7854" w:rsidRPr="00560A2B" w:rsidRDefault="001D7854" w:rsidP="001D7854">
            <w:pPr>
              <w:pStyle w:val="ListParagraph"/>
              <w:numPr>
                <w:ilvl w:val="0"/>
                <w:numId w:val="22"/>
              </w:numPr>
              <w:spacing w:after="0" w:line="240" w:lineRule="auto"/>
              <w:rPr>
                <w:bCs/>
                <w:color w:val="auto"/>
                <w:sz w:val="22"/>
                <w:szCs w:val="22"/>
              </w:rPr>
            </w:pPr>
            <w:r w:rsidRPr="00560A2B">
              <w:rPr>
                <w:bCs/>
                <w:color w:val="auto"/>
                <w:sz w:val="22"/>
                <w:szCs w:val="22"/>
              </w:rPr>
              <w:t>Provision map and interventions in place from Term 1</w:t>
            </w:r>
          </w:p>
          <w:p w14:paraId="607F2984" w14:textId="77777777" w:rsidR="001D7854" w:rsidRDefault="001D7854" w:rsidP="001D7854">
            <w:pPr>
              <w:pStyle w:val="ListParagraph"/>
              <w:numPr>
                <w:ilvl w:val="0"/>
                <w:numId w:val="22"/>
              </w:numPr>
              <w:spacing w:after="0" w:line="240" w:lineRule="auto"/>
              <w:rPr>
                <w:bCs/>
                <w:color w:val="auto"/>
                <w:sz w:val="22"/>
                <w:szCs w:val="22"/>
              </w:rPr>
            </w:pPr>
            <w:r>
              <w:rPr>
                <w:bCs/>
                <w:color w:val="auto"/>
                <w:sz w:val="22"/>
                <w:szCs w:val="22"/>
              </w:rPr>
              <w:t xml:space="preserve">Impact of interventions monitored and tracked </w:t>
            </w:r>
          </w:p>
          <w:p w14:paraId="29E23F6C" w14:textId="3D8989FB" w:rsidR="001D7854" w:rsidRPr="001D7854" w:rsidRDefault="001D7854" w:rsidP="001D7854">
            <w:pPr>
              <w:pStyle w:val="ListParagraph"/>
              <w:numPr>
                <w:ilvl w:val="0"/>
                <w:numId w:val="22"/>
              </w:numPr>
              <w:spacing w:after="0" w:line="240" w:lineRule="auto"/>
              <w:rPr>
                <w:bCs/>
                <w:color w:val="auto"/>
                <w:sz w:val="22"/>
                <w:szCs w:val="22"/>
              </w:rPr>
            </w:pPr>
            <w:r w:rsidRPr="001D7854">
              <w:rPr>
                <w:bCs/>
                <w:color w:val="auto"/>
                <w:sz w:val="22"/>
                <w:szCs w:val="22"/>
              </w:rPr>
              <w:t>Pupil progress meetings 3 times a year to discuss impact of interventions.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5214" w14:textId="77777777" w:rsidR="001D7854" w:rsidRDefault="001D7854" w:rsidP="001D7854">
            <w:pPr>
              <w:pStyle w:val="TableRowCentered"/>
              <w:jc w:val="left"/>
              <w:rPr>
                <w:sz w:val="22"/>
              </w:rPr>
            </w:pPr>
            <w:r>
              <w:rPr>
                <w:sz w:val="22"/>
              </w:rPr>
              <w:t>EEF evidence:</w:t>
            </w:r>
          </w:p>
          <w:p w14:paraId="4AA9ADEB" w14:textId="77777777" w:rsidR="001D7854" w:rsidRDefault="001D7854" w:rsidP="001D7854">
            <w:pPr>
              <w:pStyle w:val="TableRowCentered"/>
              <w:jc w:val="left"/>
              <w:rPr>
                <w:sz w:val="22"/>
              </w:rPr>
            </w:pPr>
            <w:r>
              <w:rPr>
                <w:sz w:val="22"/>
              </w:rPr>
              <w:t>Teaching assistant intervention + 4 months</w:t>
            </w:r>
          </w:p>
          <w:p w14:paraId="65020574" w14:textId="77777777" w:rsidR="001D7854" w:rsidRDefault="001D7854" w:rsidP="001D7854">
            <w:pPr>
              <w:pStyle w:val="TableRowCentered"/>
              <w:jc w:val="left"/>
              <w:rPr>
                <w:sz w:val="22"/>
              </w:rPr>
            </w:pPr>
            <w:r>
              <w:rPr>
                <w:sz w:val="22"/>
              </w:rPr>
              <w:t>Feedback + 6 months</w:t>
            </w:r>
          </w:p>
          <w:p w14:paraId="13C0F9C7" w14:textId="77777777" w:rsidR="001D7854" w:rsidRDefault="001D7854" w:rsidP="001D7854">
            <w:pPr>
              <w:pStyle w:val="TableRowCentered"/>
              <w:jc w:val="left"/>
              <w:rPr>
                <w:sz w:val="22"/>
              </w:rPr>
            </w:pPr>
          </w:p>
          <w:p w14:paraId="67A7EA7F" w14:textId="6A81E1D1" w:rsidR="001D7854" w:rsidRDefault="001D7854" w:rsidP="001D7854">
            <w:pPr>
              <w:pStyle w:val="TableRowCentered"/>
              <w:jc w:val="left"/>
              <w:rPr>
                <w:sz w:val="22"/>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094B" w14:textId="57C408A0" w:rsidR="001D7854" w:rsidRDefault="001D7854" w:rsidP="001D7854">
            <w:pPr>
              <w:pStyle w:val="TableRowCentered"/>
              <w:jc w:val="left"/>
              <w:rPr>
                <w:sz w:val="22"/>
              </w:rPr>
            </w:pPr>
            <w:r>
              <w:rPr>
                <w:sz w:val="22"/>
              </w:rPr>
              <w:t xml:space="preserve">2,3 </w:t>
            </w:r>
          </w:p>
        </w:tc>
      </w:tr>
      <w:tr w:rsidR="001D7854" w14:paraId="6C33C2DB" w14:textId="77777777" w:rsidTr="001D785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8A00" w14:textId="77777777" w:rsidR="001D7854" w:rsidRPr="00560A2B" w:rsidRDefault="001D7854" w:rsidP="001D7854">
            <w:pPr>
              <w:pStyle w:val="ListParagraph"/>
              <w:numPr>
                <w:ilvl w:val="0"/>
                <w:numId w:val="21"/>
              </w:numPr>
              <w:spacing w:after="0" w:line="240" w:lineRule="auto"/>
              <w:ind w:left="714" w:hanging="357"/>
              <w:rPr>
                <w:bCs/>
                <w:color w:val="auto"/>
                <w:sz w:val="22"/>
                <w:szCs w:val="22"/>
              </w:rPr>
            </w:pPr>
            <w:r w:rsidRPr="00560A2B">
              <w:rPr>
                <w:bCs/>
                <w:color w:val="auto"/>
                <w:sz w:val="22"/>
                <w:szCs w:val="22"/>
              </w:rPr>
              <w:t xml:space="preserve">Using phonics assessments, select pupils to receive a targeted, phonic programme. </w:t>
            </w:r>
          </w:p>
          <w:p w14:paraId="3B50E416" w14:textId="77777777" w:rsidR="001D7854" w:rsidRPr="00560A2B" w:rsidRDefault="001D7854" w:rsidP="001D7854">
            <w:pPr>
              <w:pStyle w:val="ListParagraph"/>
              <w:numPr>
                <w:ilvl w:val="0"/>
                <w:numId w:val="21"/>
              </w:numPr>
              <w:spacing w:after="0" w:line="240" w:lineRule="auto"/>
              <w:ind w:left="714" w:hanging="357"/>
              <w:rPr>
                <w:bCs/>
                <w:color w:val="auto"/>
                <w:sz w:val="22"/>
                <w:szCs w:val="22"/>
              </w:rPr>
            </w:pPr>
            <w:r w:rsidRPr="00560A2B">
              <w:rPr>
                <w:bCs/>
                <w:color w:val="auto"/>
                <w:sz w:val="22"/>
                <w:szCs w:val="22"/>
              </w:rPr>
              <w:t>Purchase/make specific phonics resources for this group and for children to take home.</w:t>
            </w:r>
          </w:p>
          <w:p w14:paraId="294B01C6" w14:textId="77777777" w:rsidR="001D7854" w:rsidRDefault="001D7854" w:rsidP="001D7854">
            <w:pPr>
              <w:pStyle w:val="ListParagraph"/>
              <w:numPr>
                <w:ilvl w:val="0"/>
                <w:numId w:val="23"/>
              </w:numPr>
              <w:spacing w:after="0" w:line="240" w:lineRule="auto"/>
              <w:rPr>
                <w:bCs/>
                <w:color w:val="auto"/>
                <w:sz w:val="22"/>
                <w:szCs w:val="22"/>
              </w:rPr>
            </w:pPr>
            <w:r w:rsidRPr="00560A2B">
              <w:rPr>
                <w:bCs/>
                <w:color w:val="auto"/>
                <w:sz w:val="22"/>
                <w:szCs w:val="22"/>
              </w:rPr>
              <w:t xml:space="preserve">Deliver a series of </w:t>
            </w:r>
            <w:r>
              <w:rPr>
                <w:bCs/>
                <w:color w:val="auto"/>
                <w:sz w:val="22"/>
                <w:szCs w:val="22"/>
              </w:rPr>
              <w:t xml:space="preserve">parent support </w:t>
            </w:r>
            <w:r w:rsidRPr="00560A2B">
              <w:rPr>
                <w:bCs/>
                <w:color w:val="auto"/>
                <w:sz w:val="22"/>
                <w:szCs w:val="22"/>
              </w:rPr>
              <w:t xml:space="preserve">phonics sessions to enable parent and child to learn together. </w:t>
            </w:r>
          </w:p>
          <w:p w14:paraId="3D8FE458" w14:textId="77777777" w:rsidR="001D7854" w:rsidRDefault="001D7854" w:rsidP="001D7854">
            <w:pPr>
              <w:pStyle w:val="ListParagraph"/>
              <w:numPr>
                <w:ilvl w:val="0"/>
                <w:numId w:val="23"/>
              </w:numPr>
              <w:spacing w:after="0" w:line="240" w:lineRule="auto"/>
              <w:rPr>
                <w:bCs/>
                <w:color w:val="auto"/>
                <w:sz w:val="22"/>
                <w:szCs w:val="22"/>
              </w:rPr>
            </w:pPr>
            <w:r>
              <w:rPr>
                <w:bCs/>
                <w:color w:val="auto"/>
                <w:sz w:val="22"/>
                <w:szCs w:val="22"/>
              </w:rPr>
              <w:t xml:space="preserve">Using reading assessments, select pupils to receive targeted reading intervention. </w:t>
            </w:r>
          </w:p>
          <w:p w14:paraId="0F28DC23" w14:textId="77777777" w:rsidR="001D7854" w:rsidRDefault="001D7854" w:rsidP="001D7854">
            <w:pPr>
              <w:pStyle w:val="ListParagraph"/>
              <w:numPr>
                <w:ilvl w:val="0"/>
                <w:numId w:val="23"/>
              </w:numPr>
              <w:spacing w:after="0" w:line="240" w:lineRule="auto"/>
              <w:rPr>
                <w:bCs/>
                <w:color w:val="auto"/>
                <w:sz w:val="22"/>
                <w:szCs w:val="22"/>
              </w:rPr>
            </w:pPr>
            <w:r>
              <w:rPr>
                <w:bCs/>
                <w:color w:val="auto"/>
                <w:sz w:val="22"/>
                <w:szCs w:val="22"/>
              </w:rPr>
              <w:t xml:space="preserve">Provide resources for this reading intervention and for children to take home. </w:t>
            </w:r>
          </w:p>
          <w:p w14:paraId="3F4A1BB7" w14:textId="14C61BE5" w:rsidR="001D7854" w:rsidRPr="001D7854" w:rsidRDefault="001D7854" w:rsidP="001D7854">
            <w:pPr>
              <w:pStyle w:val="ListParagraph"/>
              <w:numPr>
                <w:ilvl w:val="0"/>
                <w:numId w:val="23"/>
              </w:numPr>
              <w:spacing w:after="0" w:line="240" w:lineRule="auto"/>
              <w:rPr>
                <w:bCs/>
                <w:color w:val="auto"/>
                <w:sz w:val="22"/>
                <w:szCs w:val="22"/>
              </w:rPr>
            </w:pPr>
            <w:r w:rsidRPr="001D7854">
              <w:rPr>
                <w:bCs/>
                <w:color w:val="auto"/>
                <w:sz w:val="22"/>
                <w:szCs w:val="22"/>
              </w:rPr>
              <w:t xml:space="preserve">Deliver a series of parent support reading sessions to enable parent and child to learn together.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36673" w14:textId="77777777" w:rsidR="001D7854" w:rsidRDefault="001D7854" w:rsidP="001D7854">
            <w:pPr>
              <w:pStyle w:val="TableRowCentered"/>
              <w:jc w:val="left"/>
              <w:rPr>
                <w:sz w:val="22"/>
              </w:rPr>
            </w:pPr>
            <w:r>
              <w:rPr>
                <w:sz w:val="22"/>
              </w:rPr>
              <w:t>EEF evidence :</w:t>
            </w:r>
          </w:p>
          <w:p w14:paraId="557E1707" w14:textId="77777777" w:rsidR="001D7854" w:rsidRDefault="001D7854" w:rsidP="001D7854">
            <w:pPr>
              <w:pStyle w:val="TableRowCentered"/>
              <w:jc w:val="left"/>
              <w:rPr>
                <w:sz w:val="22"/>
              </w:rPr>
            </w:pPr>
            <w:r>
              <w:rPr>
                <w:sz w:val="22"/>
              </w:rPr>
              <w:t>Phonics focus + 5 months</w:t>
            </w:r>
          </w:p>
          <w:p w14:paraId="60D6AC4C" w14:textId="77777777" w:rsidR="001D7854" w:rsidRDefault="001D7854" w:rsidP="001D7854">
            <w:pPr>
              <w:pStyle w:val="TableRowCentered"/>
              <w:jc w:val="left"/>
              <w:rPr>
                <w:sz w:val="22"/>
              </w:rPr>
            </w:pPr>
            <w:r>
              <w:rPr>
                <w:sz w:val="22"/>
              </w:rPr>
              <w:t xml:space="preserve">Parental engagement + 4 months </w:t>
            </w:r>
          </w:p>
          <w:p w14:paraId="65D69EB2" w14:textId="77777777" w:rsidR="001D7854" w:rsidRDefault="001D7854" w:rsidP="001D7854">
            <w:pPr>
              <w:pStyle w:val="TableRowCentered"/>
              <w:jc w:val="left"/>
              <w:rPr>
                <w:sz w:val="22"/>
              </w:rPr>
            </w:pPr>
            <w:r>
              <w:rPr>
                <w:sz w:val="22"/>
              </w:rPr>
              <w:t>Teaching assistant intervention + 4 months</w:t>
            </w:r>
          </w:p>
          <w:p w14:paraId="19160477" w14:textId="77777777" w:rsidR="001D7854" w:rsidRDefault="001D7854" w:rsidP="001D7854">
            <w:pPr>
              <w:pStyle w:val="TableRowCentered"/>
              <w:jc w:val="left"/>
              <w:rPr>
                <w:sz w:val="22"/>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5F98E" w14:textId="70EC74AA" w:rsidR="001D7854" w:rsidRDefault="001D7854" w:rsidP="001D7854">
            <w:pPr>
              <w:pStyle w:val="TableRowCentered"/>
              <w:jc w:val="left"/>
              <w:rPr>
                <w:sz w:val="22"/>
              </w:rPr>
            </w:pPr>
            <w:r>
              <w:rPr>
                <w:sz w:val="22"/>
              </w:rPr>
              <w:t>2,3</w:t>
            </w:r>
          </w:p>
        </w:tc>
      </w:tr>
      <w:tr w:rsidR="001D7854" w14:paraId="14AA0FC3" w14:textId="77777777" w:rsidTr="001D785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59EB" w14:textId="7566DEDB" w:rsidR="001D7854" w:rsidRPr="00560A2B" w:rsidRDefault="000908C7" w:rsidP="001D7854">
            <w:pPr>
              <w:pStyle w:val="ListParagraph"/>
              <w:numPr>
                <w:ilvl w:val="0"/>
                <w:numId w:val="21"/>
              </w:numPr>
              <w:spacing w:after="0" w:line="240" w:lineRule="auto"/>
              <w:ind w:left="714" w:hanging="357"/>
              <w:rPr>
                <w:bCs/>
                <w:color w:val="auto"/>
                <w:sz w:val="22"/>
                <w:szCs w:val="22"/>
              </w:rPr>
            </w:pPr>
            <w:r>
              <w:rPr>
                <w:rFonts w:cs="Arial"/>
                <w:sz w:val="22"/>
                <w:szCs w:val="22"/>
              </w:rPr>
              <w:t xml:space="preserve">School led </w:t>
            </w:r>
            <w:r w:rsidR="001D7854" w:rsidRPr="00560A2B">
              <w:rPr>
                <w:rFonts w:cs="Arial"/>
                <w:sz w:val="22"/>
                <w:szCs w:val="22"/>
              </w:rPr>
              <w:t>Tutoring Programme (6 pupils)</w:t>
            </w:r>
          </w:p>
          <w:p w14:paraId="6A736A9E" w14:textId="29258169" w:rsidR="001D7854" w:rsidRPr="00560A2B" w:rsidRDefault="001D7854" w:rsidP="001D7854">
            <w:pPr>
              <w:pStyle w:val="ListParagraph"/>
              <w:numPr>
                <w:ilvl w:val="0"/>
                <w:numId w:val="15"/>
              </w:numPr>
              <w:spacing w:after="0" w:line="240" w:lineRule="auto"/>
              <w:ind w:left="714" w:hanging="357"/>
              <w:rPr>
                <w:bCs/>
                <w:color w:val="auto"/>
                <w:sz w:val="22"/>
                <w:szCs w:val="22"/>
              </w:rPr>
            </w:pPr>
            <w:r w:rsidRPr="00560A2B">
              <w:rPr>
                <w:bCs/>
                <w:sz w:val="22"/>
                <w:szCs w:val="22"/>
              </w:rPr>
              <w:t>Embedding of three-way partnership between tutor, school and home.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30A6" w14:textId="768DF763" w:rsidR="001D7854" w:rsidRDefault="001D7854" w:rsidP="001D7854">
            <w:pPr>
              <w:pStyle w:val="TableRowCentered"/>
              <w:jc w:val="left"/>
              <w:rPr>
                <w:sz w:val="22"/>
              </w:rPr>
            </w:pPr>
            <w:r>
              <w:rPr>
                <w:sz w:val="22"/>
              </w:rPr>
              <w:t>EEF evidence:</w:t>
            </w:r>
          </w:p>
          <w:p w14:paraId="4AFC1F89" w14:textId="77777777" w:rsidR="001D7854" w:rsidRDefault="001D7854" w:rsidP="001D7854">
            <w:pPr>
              <w:pStyle w:val="TableRowCentered"/>
              <w:jc w:val="left"/>
              <w:rPr>
                <w:sz w:val="22"/>
              </w:rPr>
            </w:pPr>
            <w:r>
              <w:rPr>
                <w:sz w:val="22"/>
              </w:rPr>
              <w:t>One to one tuition + 5 months</w:t>
            </w:r>
          </w:p>
          <w:p w14:paraId="4552AA01" w14:textId="77777777" w:rsidR="001D7854" w:rsidRDefault="001D7854" w:rsidP="001D7854">
            <w:pPr>
              <w:pStyle w:val="TableRowCentered"/>
              <w:jc w:val="left"/>
              <w:rPr>
                <w:sz w:val="22"/>
              </w:rPr>
            </w:pPr>
            <w:r>
              <w:rPr>
                <w:sz w:val="22"/>
              </w:rPr>
              <w:t xml:space="preserve">Parental engagement + 4 months </w:t>
            </w:r>
          </w:p>
          <w:p w14:paraId="68CE1227" w14:textId="4341B651" w:rsidR="001D7854" w:rsidRDefault="001D7854" w:rsidP="001D7854">
            <w:pPr>
              <w:pStyle w:val="TableRowCentered"/>
              <w:jc w:val="left"/>
              <w:rPr>
                <w:sz w:val="22"/>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4B71" w14:textId="04DCCB23" w:rsidR="001D7854" w:rsidRDefault="001D7854" w:rsidP="001D7854">
            <w:pPr>
              <w:pStyle w:val="TableRowCentered"/>
              <w:jc w:val="left"/>
              <w:rPr>
                <w:sz w:val="22"/>
              </w:rPr>
            </w:pPr>
            <w:r>
              <w:rPr>
                <w:sz w:val="22"/>
              </w:rPr>
              <w:t>2,3</w:t>
            </w:r>
          </w:p>
        </w:tc>
      </w:tr>
    </w:tbl>
    <w:p w14:paraId="3CF14464" w14:textId="0ED98FB7" w:rsidR="00A84DE7" w:rsidRDefault="00A84DE7">
      <w:pPr>
        <w:rPr>
          <w:b/>
          <w:color w:val="7030A0"/>
        </w:rPr>
      </w:pPr>
    </w:p>
    <w:p w14:paraId="646ED1C7" w14:textId="0CD48572" w:rsidR="00A84DE7" w:rsidRPr="00754F50" w:rsidRDefault="00A84DE7">
      <w:pPr>
        <w:rPr>
          <w:b/>
          <w:color w:val="auto"/>
        </w:rPr>
      </w:pPr>
      <w:r w:rsidRPr="00754F50">
        <w:rPr>
          <w:b/>
          <w:color w:val="auto"/>
        </w:rPr>
        <w:t>Wider Strategies (for example, related to behaviour, attendance, well-being</w:t>
      </w:r>
      <w:r w:rsidR="00754F50" w:rsidRPr="00754F50">
        <w:rPr>
          <w:b/>
          <w:color w:val="auto"/>
        </w:rPr>
        <w:t>)</w:t>
      </w:r>
    </w:p>
    <w:p w14:paraId="6DBC2D3B" w14:textId="7F5480BB" w:rsidR="00A84DE7" w:rsidRPr="00754F50" w:rsidRDefault="00A84DE7">
      <w:pPr>
        <w:rPr>
          <w:b/>
          <w:color w:val="auto"/>
        </w:rPr>
      </w:pPr>
      <w:r w:rsidRPr="00754F50">
        <w:rPr>
          <w:b/>
          <w:color w:val="auto"/>
        </w:rPr>
        <w:t>Budgeted Cost: £</w:t>
      </w:r>
      <w:r w:rsidR="00D17DA0">
        <w:rPr>
          <w:b/>
          <w:color w:val="auto"/>
        </w:rPr>
        <w:t>2</w:t>
      </w:r>
      <w:r w:rsidR="00D17DA0" w:rsidRPr="001919B9">
        <w:rPr>
          <w:b/>
          <w:color w:val="auto"/>
        </w:rPr>
        <w:t>,</w:t>
      </w:r>
      <w:r w:rsidR="00FF27FA">
        <w:rPr>
          <w:b/>
          <w:color w:val="auto"/>
        </w:rPr>
        <w:t>300</w:t>
      </w:r>
    </w:p>
    <w:tbl>
      <w:tblPr>
        <w:tblW w:w="5000" w:type="pct"/>
        <w:tblCellMar>
          <w:left w:w="10" w:type="dxa"/>
          <w:right w:w="10" w:type="dxa"/>
        </w:tblCellMar>
        <w:tblLook w:val="04A0" w:firstRow="1" w:lastRow="0" w:firstColumn="1" w:lastColumn="0" w:noHBand="0" w:noVBand="1"/>
      </w:tblPr>
      <w:tblGrid>
        <w:gridCol w:w="4531"/>
        <w:gridCol w:w="2552"/>
        <w:gridCol w:w="2403"/>
      </w:tblGrid>
      <w:tr w:rsidR="00DE48C5" w14:paraId="76A49AAF" w14:textId="77777777" w:rsidTr="0B8E7F1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42CDF464" w14:textId="77777777" w:rsidR="00DE48C5" w:rsidRPr="005D22DD" w:rsidRDefault="00DE48C5" w:rsidP="0057593C">
            <w:pPr>
              <w:pStyle w:val="TableHeader"/>
              <w:jc w:val="left"/>
              <w:rPr>
                <w:color w:val="160210"/>
              </w:rPr>
            </w:pPr>
            <w:r w:rsidRPr="005D22DD">
              <w:rPr>
                <w:color w:val="160210"/>
              </w:rPr>
              <w:t>Activity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7225664F" w14:textId="77777777" w:rsidR="00DE48C5" w:rsidRPr="005D22DD" w:rsidRDefault="00DE48C5" w:rsidP="0057593C">
            <w:pPr>
              <w:pStyle w:val="TableHeader"/>
              <w:jc w:val="left"/>
              <w:rPr>
                <w:color w:val="160210"/>
              </w:rPr>
            </w:pPr>
            <w:r w:rsidRPr="005D22DD">
              <w:rPr>
                <w:color w:val="160210"/>
              </w:rPr>
              <w:t>Evidence that supports this approach</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tcPr>
          <w:p w14:paraId="1FD2D791" w14:textId="77777777" w:rsidR="00DE48C5" w:rsidRPr="005D22DD" w:rsidRDefault="00DE48C5" w:rsidP="0057593C">
            <w:pPr>
              <w:pStyle w:val="TableHeader"/>
              <w:jc w:val="left"/>
              <w:rPr>
                <w:color w:val="160210"/>
              </w:rPr>
            </w:pPr>
            <w:r w:rsidRPr="005D22DD">
              <w:rPr>
                <w:color w:val="160210"/>
              </w:rPr>
              <w:t>Challenge number(s) addressed</w:t>
            </w:r>
          </w:p>
        </w:tc>
      </w:tr>
      <w:tr w:rsidR="001D7854" w14:paraId="1F3BD4E3" w14:textId="77777777" w:rsidTr="0B8E7F1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32BF0" w14:textId="77777777" w:rsidR="001D7854" w:rsidRPr="007E1485" w:rsidRDefault="001D7854" w:rsidP="001D7854">
            <w:pPr>
              <w:pStyle w:val="ListParagraph"/>
              <w:numPr>
                <w:ilvl w:val="0"/>
                <w:numId w:val="24"/>
              </w:numPr>
              <w:spacing w:after="0" w:line="240" w:lineRule="auto"/>
              <w:rPr>
                <w:bCs/>
                <w:color w:val="auto"/>
                <w:sz w:val="22"/>
                <w:szCs w:val="22"/>
              </w:rPr>
            </w:pPr>
            <w:r w:rsidRPr="007E1485">
              <w:rPr>
                <w:bCs/>
                <w:color w:val="auto"/>
                <w:sz w:val="22"/>
                <w:szCs w:val="22"/>
              </w:rPr>
              <w:t xml:space="preserve">Weekly and termly tracking of attendance – triangulate this with other knowledge of families </w:t>
            </w:r>
          </w:p>
          <w:p w14:paraId="21597367" w14:textId="77777777" w:rsidR="001D7854" w:rsidRPr="00FE05CA" w:rsidRDefault="001D7854" w:rsidP="001D7854">
            <w:pPr>
              <w:pStyle w:val="ListParagraph"/>
              <w:numPr>
                <w:ilvl w:val="0"/>
                <w:numId w:val="24"/>
              </w:numPr>
              <w:spacing w:after="0" w:line="240" w:lineRule="auto"/>
              <w:rPr>
                <w:bCs/>
                <w:color w:val="auto"/>
                <w:sz w:val="22"/>
                <w:szCs w:val="22"/>
              </w:rPr>
            </w:pPr>
            <w:r w:rsidRPr="007E1485">
              <w:rPr>
                <w:rFonts w:cs="Arial"/>
                <w:sz w:val="22"/>
                <w:szCs w:val="22"/>
              </w:rPr>
              <w:t>Reminders about attendance in the newsletter for all children</w:t>
            </w:r>
          </w:p>
          <w:p w14:paraId="23CF1094" w14:textId="6807FB0C" w:rsidR="001D7854" w:rsidRPr="00713F8D" w:rsidRDefault="001D7854" w:rsidP="00713F8D">
            <w:pPr>
              <w:pStyle w:val="ListParagraph"/>
              <w:numPr>
                <w:ilvl w:val="0"/>
                <w:numId w:val="24"/>
              </w:numPr>
              <w:spacing w:after="0" w:line="240" w:lineRule="auto"/>
              <w:rPr>
                <w:bCs/>
                <w:color w:val="auto"/>
                <w:sz w:val="22"/>
                <w:szCs w:val="22"/>
              </w:rPr>
            </w:pPr>
            <w:r>
              <w:rPr>
                <w:rFonts w:cs="Arial"/>
                <w:bCs/>
                <w:sz w:val="22"/>
                <w:szCs w:val="22"/>
              </w:rPr>
              <w:t xml:space="preserve">Work with external agencies involved to support families to improve attendance.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814DCE" w14:textId="77777777" w:rsidR="001D7854" w:rsidRDefault="001D7854" w:rsidP="001D7854">
            <w:pPr>
              <w:pStyle w:val="TableRowCentered"/>
              <w:ind w:left="0"/>
              <w:jc w:val="left"/>
              <w:rPr>
                <w:sz w:val="22"/>
              </w:rPr>
            </w:pPr>
            <w:r>
              <w:rPr>
                <w:sz w:val="22"/>
              </w:rPr>
              <w:t>EEF evidence :</w:t>
            </w:r>
          </w:p>
          <w:p w14:paraId="63A64ED3" w14:textId="55B3ED0F" w:rsidR="001D7854" w:rsidRDefault="001D7854" w:rsidP="001D7854">
            <w:pPr>
              <w:pStyle w:val="TableRowCentered"/>
              <w:ind w:left="0"/>
              <w:jc w:val="left"/>
              <w:rPr>
                <w:sz w:val="22"/>
              </w:rPr>
            </w:pPr>
            <w:r>
              <w:rPr>
                <w:sz w:val="22"/>
              </w:rPr>
              <w:t xml:space="preserve">Parental engagement + 4 months </w:t>
            </w:r>
          </w:p>
          <w:p w14:paraId="59BBD1E9" w14:textId="77777777" w:rsidR="001D7854" w:rsidRDefault="001D7854" w:rsidP="00713F8D">
            <w:pPr>
              <w:pStyle w:val="TableRowCentered"/>
              <w:ind w:left="0"/>
              <w:jc w:val="left"/>
              <w:rPr>
                <w:sz w:val="22"/>
              </w:rPr>
            </w:pP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70B0D0" w14:textId="44719AD6" w:rsidR="001D7854" w:rsidRDefault="00B1702D" w:rsidP="001D7854">
            <w:pPr>
              <w:pStyle w:val="TableRowCentered"/>
              <w:jc w:val="left"/>
              <w:rPr>
                <w:sz w:val="22"/>
              </w:rPr>
            </w:pPr>
            <w:r>
              <w:rPr>
                <w:sz w:val="22"/>
              </w:rPr>
              <w:t>4</w:t>
            </w:r>
          </w:p>
        </w:tc>
      </w:tr>
      <w:tr w:rsidR="001D7854" w14:paraId="0BB6FAA6" w14:textId="77777777" w:rsidTr="0B8E7F1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5C4A74" w14:textId="77777777" w:rsidR="001D7854" w:rsidRDefault="001D7854" w:rsidP="001D7854">
            <w:pPr>
              <w:pStyle w:val="ListParagraph"/>
              <w:numPr>
                <w:ilvl w:val="0"/>
                <w:numId w:val="22"/>
              </w:numPr>
              <w:spacing w:after="0" w:line="240" w:lineRule="auto"/>
              <w:rPr>
                <w:bCs/>
                <w:color w:val="auto"/>
                <w:sz w:val="22"/>
                <w:szCs w:val="22"/>
              </w:rPr>
            </w:pPr>
            <w:r w:rsidRPr="007E1485">
              <w:rPr>
                <w:bCs/>
                <w:color w:val="auto"/>
                <w:sz w:val="22"/>
                <w:szCs w:val="22"/>
              </w:rPr>
              <w:t xml:space="preserve">Map out our therapeutic and holistic interventions and support pathways and the criteria/thresholds needed for pupils and families to access this support. </w:t>
            </w:r>
          </w:p>
          <w:p w14:paraId="1AA0FD04" w14:textId="77777777" w:rsidR="001D7854" w:rsidRDefault="001D7854" w:rsidP="001D7854">
            <w:pPr>
              <w:pStyle w:val="ListParagraph"/>
              <w:numPr>
                <w:ilvl w:val="0"/>
                <w:numId w:val="22"/>
              </w:numPr>
              <w:spacing w:after="0" w:line="240" w:lineRule="auto"/>
              <w:rPr>
                <w:bCs/>
                <w:color w:val="auto"/>
                <w:sz w:val="22"/>
                <w:szCs w:val="22"/>
              </w:rPr>
            </w:pPr>
            <w:r>
              <w:rPr>
                <w:bCs/>
                <w:color w:val="auto"/>
                <w:sz w:val="22"/>
                <w:szCs w:val="22"/>
              </w:rPr>
              <w:t xml:space="preserve">Embed the use of Thrive strategies activities across all year groups to support emotional regulation. </w:t>
            </w:r>
          </w:p>
          <w:p w14:paraId="2D1730C3" w14:textId="77777777" w:rsidR="001D7854" w:rsidRDefault="001D7854" w:rsidP="001D7854">
            <w:pPr>
              <w:pStyle w:val="ListParagraph"/>
              <w:numPr>
                <w:ilvl w:val="0"/>
                <w:numId w:val="22"/>
              </w:numPr>
              <w:spacing w:after="0" w:line="240" w:lineRule="auto"/>
              <w:rPr>
                <w:bCs/>
                <w:color w:val="auto"/>
                <w:sz w:val="22"/>
                <w:szCs w:val="22"/>
              </w:rPr>
            </w:pPr>
            <w:r>
              <w:rPr>
                <w:bCs/>
                <w:color w:val="auto"/>
                <w:sz w:val="22"/>
                <w:szCs w:val="22"/>
              </w:rPr>
              <w:t xml:space="preserve">Continue voice of the child activities </w:t>
            </w:r>
          </w:p>
          <w:p w14:paraId="33C224C3" w14:textId="77777777" w:rsidR="00713F8D" w:rsidRDefault="001D7854" w:rsidP="00713F8D">
            <w:pPr>
              <w:pStyle w:val="ListParagraph"/>
              <w:numPr>
                <w:ilvl w:val="0"/>
                <w:numId w:val="22"/>
              </w:numPr>
              <w:spacing w:after="0" w:line="240" w:lineRule="auto"/>
              <w:rPr>
                <w:bCs/>
                <w:color w:val="auto"/>
                <w:sz w:val="22"/>
                <w:szCs w:val="22"/>
              </w:rPr>
            </w:pPr>
            <w:r>
              <w:rPr>
                <w:bCs/>
                <w:color w:val="auto"/>
                <w:sz w:val="22"/>
                <w:szCs w:val="22"/>
              </w:rPr>
              <w:t xml:space="preserve">Work with teachers to ensure a calm, consistent and fair, trauma informed approach  </w:t>
            </w:r>
          </w:p>
          <w:p w14:paraId="5562BA37" w14:textId="426EE7DF" w:rsidR="001D7854" w:rsidRPr="00713F8D" w:rsidRDefault="001D7854" w:rsidP="00713F8D">
            <w:pPr>
              <w:pStyle w:val="ListParagraph"/>
              <w:numPr>
                <w:ilvl w:val="0"/>
                <w:numId w:val="22"/>
              </w:numPr>
              <w:spacing w:after="0" w:line="240" w:lineRule="auto"/>
              <w:rPr>
                <w:bCs/>
                <w:color w:val="auto"/>
                <w:sz w:val="22"/>
                <w:szCs w:val="22"/>
              </w:rPr>
            </w:pPr>
            <w:r w:rsidRPr="00713F8D">
              <w:rPr>
                <w:bCs/>
                <w:color w:val="auto"/>
                <w:sz w:val="22"/>
                <w:szCs w:val="22"/>
              </w:rPr>
              <w:t xml:space="preserve">Lead training sessions for support staff where required, to lead on sand tray therapy play, Thrive, Zones of Regulation etc.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391036" w14:textId="2940D7D6" w:rsidR="00713F8D" w:rsidRDefault="00713F8D" w:rsidP="00713F8D">
            <w:pPr>
              <w:pStyle w:val="TableRowCentered"/>
              <w:ind w:left="0"/>
              <w:jc w:val="left"/>
              <w:rPr>
                <w:sz w:val="22"/>
              </w:rPr>
            </w:pPr>
            <w:r>
              <w:rPr>
                <w:sz w:val="22"/>
              </w:rPr>
              <w:t xml:space="preserve">EEF evidence: </w:t>
            </w:r>
          </w:p>
          <w:p w14:paraId="38ABD963" w14:textId="3A092302" w:rsidR="00713F8D" w:rsidRDefault="00713F8D" w:rsidP="00713F8D">
            <w:pPr>
              <w:pStyle w:val="TableRowCentered"/>
              <w:ind w:left="0"/>
              <w:jc w:val="left"/>
              <w:rPr>
                <w:sz w:val="22"/>
              </w:rPr>
            </w:pPr>
            <w:r>
              <w:rPr>
                <w:sz w:val="22"/>
              </w:rPr>
              <w:t>Social and emotional learning + 4 months</w:t>
            </w:r>
          </w:p>
          <w:p w14:paraId="0B90D939" w14:textId="1405A5D6" w:rsidR="00713F8D" w:rsidRDefault="00713F8D" w:rsidP="00713F8D">
            <w:pPr>
              <w:pStyle w:val="TableRowCentered"/>
              <w:ind w:left="0"/>
              <w:jc w:val="left"/>
              <w:rPr>
                <w:sz w:val="22"/>
              </w:rPr>
            </w:pPr>
            <w:r>
              <w:rPr>
                <w:sz w:val="22"/>
              </w:rPr>
              <w:t>Behaviour interventions + 4 months</w:t>
            </w:r>
          </w:p>
          <w:p w14:paraId="37B7C894" w14:textId="77777777" w:rsidR="00713F8D" w:rsidRDefault="00713F8D" w:rsidP="00713F8D">
            <w:pPr>
              <w:pStyle w:val="TableRowCentered"/>
              <w:ind w:left="0"/>
              <w:jc w:val="left"/>
              <w:rPr>
                <w:sz w:val="22"/>
              </w:rPr>
            </w:pPr>
          </w:p>
          <w:p w14:paraId="62895CCC" w14:textId="5272AA8C" w:rsidR="00713F8D" w:rsidRDefault="00713F8D" w:rsidP="00713F8D">
            <w:pPr>
              <w:pStyle w:val="TableRowCentered"/>
              <w:ind w:left="0"/>
              <w:jc w:val="left"/>
              <w:rPr>
                <w:sz w:val="22"/>
              </w:rPr>
            </w:pPr>
            <w:r>
              <w:rPr>
                <w:sz w:val="22"/>
              </w:rPr>
              <w:t xml:space="preserve">Body of research from Thrive based on relational approach to relationships with children. </w:t>
            </w:r>
          </w:p>
          <w:p w14:paraId="50D4F57B" w14:textId="14DA5849" w:rsidR="00713F8D" w:rsidRDefault="00713F8D" w:rsidP="00713F8D">
            <w:pPr>
              <w:pStyle w:val="TableRowCentered"/>
              <w:ind w:left="0"/>
              <w:jc w:val="left"/>
              <w:rPr>
                <w:sz w:val="22"/>
              </w:rPr>
            </w:pPr>
          </w:p>
          <w:p w14:paraId="1779B1E1" w14:textId="77777777" w:rsidR="00713F8D" w:rsidRDefault="00713F8D" w:rsidP="00713F8D">
            <w:pPr>
              <w:pStyle w:val="TableRowCentered"/>
              <w:ind w:left="0"/>
              <w:jc w:val="left"/>
              <w:rPr>
                <w:sz w:val="22"/>
              </w:rPr>
            </w:pPr>
          </w:p>
          <w:p w14:paraId="478EC132" w14:textId="77777777" w:rsidR="001D7854" w:rsidRDefault="001D7854" w:rsidP="001D7854">
            <w:pPr>
              <w:pStyle w:val="TableRowCentered"/>
              <w:jc w:val="left"/>
              <w:rPr>
                <w:sz w:val="22"/>
              </w:rPr>
            </w:pP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6869C" w14:textId="3070E595" w:rsidR="001D7854" w:rsidRDefault="00B1702D" w:rsidP="001D7854">
            <w:pPr>
              <w:pStyle w:val="TableRowCentered"/>
              <w:jc w:val="left"/>
              <w:rPr>
                <w:sz w:val="22"/>
              </w:rPr>
            </w:pPr>
            <w:r>
              <w:rPr>
                <w:sz w:val="22"/>
              </w:rPr>
              <w:t xml:space="preserve">1, 2, 3, 4 </w:t>
            </w:r>
          </w:p>
        </w:tc>
      </w:tr>
      <w:tr w:rsidR="001D7854" w14:paraId="506B9942" w14:textId="77777777" w:rsidTr="0B8E7F1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3580F" w14:textId="77777777" w:rsidR="001D7854" w:rsidRPr="007E1485" w:rsidRDefault="001D7854" w:rsidP="001D7854">
            <w:pPr>
              <w:pStyle w:val="ListParagraph"/>
              <w:numPr>
                <w:ilvl w:val="0"/>
                <w:numId w:val="23"/>
              </w:numPr>
              <w:spacing w:after="0" w:line="240" w:lineRule="auto"/>
              <w:rPr>
                <w:bCs/>
                <w:color w:val="auto"/>
                <w:sz w:val="22"/>
                <w:szCs w:val="22"/>
              </w:rPr>
            </w:pPr>
            <w:r w:rsidRPr="007E1485">
              <w:rPr>
                <w:bCs/>
                <w:color w:val="auto"/>
                <w:sz w:val="22"/>
                <w:szCs w:val="22"/>
              </w:rPr>
              <w:t xml:space="preserve">Co-produce the new </w:t>
            </w:r>
            <w:r w:rsidRPr="007E1485">
              <w:rPr>
                <w:rFonts w:cs="Arial"/>
                <w:sz w:val="22"/>
                <w:szCs w:val="22"/>
              </w:rPr>
              <w:t>Behaviour policy with all stakeholders.</w:t>
            </w:r>
          </w:p>
          <w:p w14:paraId="0EB6248C" w14:textId="77777777" w:rsidR="001D7854" w:rsidRPr="007E1485" w:rsidRDefault="001D7854" w:rsidP="001D7854">
            <w:pPr>
              <w:pStyle w:val="ListParagraph"/>
              <w:numPr>
                <w:ilvl w:val="0"/>
                <w:numId w:val="23"/>
              </w:numPr>
              <w:spacing w:after="0" w:line="240" w:lineRule="auto"/>
              <w:rPr>
                <w:bCs/>
                <w:color w:val="auto"/>
                <w:sz w:val="22"/>
                <w:szCs w:val="22"/>
              </w:rPr>
            </w:pPr>
            <w:r w:rsidRPr="007E1485">
              <w:rPr>
                <w:bCs/>
                <w:sz w:val="22"/>
                <w:szCs w:val="22"/>
              </w:rPr>
              <w:t>Gain parent and pupil voice through focus group three times a year to assess impact of the policy and approach.</w:t>
            </w:r>
          </w:p>
          <w:p w14:paraId="6EF6E1D4" w14:textId="2FE734B3" w:rsidR="001D7854" w:rsidRPr="007E1485" w:rsidRDefault="001D7854" w:rsidP="5232AB27">
            <w:pPr>
              <w:pStyle w:val="ListParagraph"/>
              <w:numPr>
                <w:ilvl w:val="0"/>
                <w:numId w:val="23"/>
              </w:numPr>
              <w:spacing w:after="0" w:line="240" w:lineRule="auto"/>
              <w:rPr>
                <w:color w:val="auto"/>
                <w:sz w:val="22"/>
                <w:szCs w:val="22"/>
              </w:rPr>
            </w:pPr>
            <w:r w:rsidRPr="007E1485">
              <w:rPr>
                <w:bCs/>
                <w:sz w:val="22"/>
                <w:szCs w:val="22"/>
              </w:rPr>
              <w:t xml:space="preserve">Lead training on regulation and ways to support co-regulation.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C5398E" w14:textId="77777777" w:rsidR="00713F8D" w:rsidRDefault="00713F8D" w:rsidP="00713F8D">
            <w:pPr>
              <w:pStyle w:val="TableRowCentered"/>
              <w:ind w:left="0"/>
              <w:jc w:val="left"/>
              <w:rPr>
                <w:sz w:val="22"/>
              </w:rPr>
            </w:pPr>
            <w:r>
              <w:rPr>
                <w:sz w:val="22"/>
              </w:rPr>
              <w:t xml:space="preserve">EEF evidence: </w:t>
            </w:r>
          </w:p>
          <w:p w14:paraId="6B504C5F" w14:textId="517107DD" w:rsidR="001D7854" w:rsidRDefault="00713F8D" w:rsidP="001D7854">
            <w:pPr>
              <w:pStyle w:val="TableRowCentered"/>
              <w:jc w:val="left"/>
              <w:rPr>
                <w:sz w:val="22"/>
              </w:rPr>
            </w:pPr>
            <w:r>
              <w:rPr>
                <w:sz w:val="22"/>
              </w:rPr>
              <w:t xml:space="preserve">Paul Dix ‘When the adults change, everything changes’. </w:t>
            </w:r>
          </w:p>
          <w:p w14:paraId="78479C12" w14:textId="77777777" w:rsidR="00713F8D" w:rsidRDefault="00713F8D" w:rsidP="001D7854">
            <w:pPr>
              <w:pStyle w:val="TableRowCentered"/>
              <w:jc w:val="left"/>
              <w:rPr>
                <w:sz w:val="22"/>
              </w:rPr>
            </w:pPr>
          </w:p>
          <w:p w14:paraId="028EB7D3" w14:textId="77777777" w:rsidR="00713F8D" w:rsidRDefault="00713F8D" w:rsidP="00713F8D">
            <w:pPr>
              <w:pStyle w:val="TableRowCentered"/>
              <w:ind w:left="0"/>
              <w:jc w:val="left"/>
              <w:rPr>
                <w:sz w:val="22"/>
              </w:rPr>
            </w:pPr>
            <w:r>
              <w:rPr>
                <w:sz w:val="22"/>
              </w:rPr>
              <w:t xml:space="preserve">Body of research from Thrive based on relational approach to relationships with children. </w:t>
            </w:r>
          </w:p>
          <w:p w14:paraId="1042873E" w14:textId="4BC54E0E" w:rsidR="00713F8D" w:rsidRDefault="00713F8D" w:rsidP="001D7854">
            <w:pPr>
              <w:pStyle w:val="TableRowCentered"/>
              <w:jc w:val="left"/>
              <w:rPr>
                <w:sz w:val="22"/>
              </w:rPr>
            </w:pP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B0780" w14:textId="46FAE849" w:rsidR="001D7854" w:rsidRDefault="00B1702D" w:rsidP="001D7854">
            <w:pPr>
              <w:pStyle w:val="TableRowCentered"/>
              <w:jc w:val="left"/>
              <w:rPr>
                <w:sz w:val="22"/>
              </w:rPr>
            </w:pPr>
            <w:r>
              <w:rPr>
                <w:sz w:val="22"/>
              </w:rPr>
              <w:t>1, 4</w:t>
            </w:r>
          </w:p>
        </w:tc>
      </w:tr>
      <w:tr w:rsidR="001D7854" w14:paraId="4BEB4BD1" w14:textId="77777777" w:rsidTr="0B8E7F19">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C87C4D" w14:textId="77777777" w:rsidR="001D7854" w:rsidRPr="007E1485" w:rsidRDefault="001D7854" w:rsidP="001D7854">
            <w:pPr>
              <w:pStyle w:val="ListParagraph"/>
              <w:numPr>
                <w:ilvl w:val="0"/>
                <w:numId w:val="21"/>
              </w:numPr>
              <w:spacing w:after="0" w:line="240" w:lineRule="auto"/>
              <w:rPr>
                <w:bCs/>
                <w:color w:val="auto"/>
                <w:sz w:val="22"/>
                <w:szCs w:val="22"/>
              </w:rPr>
            </w:pPr>
            <w:r w:rsidRPr="007E1485">
              <w:rPr>
                <w:bCs/>
                <w:color w:val="auto"/>
                <w:sz w:val="22"/>
                <w:szCs w:val="22"/>
              </w:rPr>
              <w:t xml:space="preserve">Training for all staff (4 sessions). </w:t>
            </w:r>
          </w:p>
          <w:p w14:paraId="5255549D" w14:textId="77777777" w:rsidR="001D7854" w:rsidRPr="007E1485" w:rsidRDefault="001D7854" w:rsidP="001D7854">
            <w:pPr>
              <w:pStyle w:val="ListParagraph"/>
              <w:numPr>
                <w:ilvl w:val="0"/>
                <w:numId w:val="21"/>
              </w:numPr>
              <w:spacing w:after="0" w:line="240" w:lineRule="auto"/>
              <w:rPr>
                <w:bCs/>
                <w:color w:val="auto"/>
                <w:sz w:val="22"/>
                <w:szCs w:val="22"/>
              </w:rPr>
            </w:pPr>
            <w:r w:rsidRPr="007E1485">
              <w:rPr>
                <w:bCs/>
                <w:color w:val="auto"/>
                <w:sz w:val="22"/>
                <w:szCs w:val="22"/>
              </w:rPr>
              <w:t>Parent workshops on Zones of Regulation</w:t>
            </w:r>
          </w:p>
          <w:p w14:paraId="2E9BDF2E" w14:textId="77777777" w:rsidR="001D7854" w:rsidRPr="007E1485" w:rsidRDefault="001D7854" w:rsidP="001D7854">
            <w:pPr>
              <w:pStyle w:val="ListParagraph"/>
              <w:numPr>
                <w:ilvl w:val="0"/>
                <w:numId w:val="21"/>
              </w:numPr>
              <w:spacing w:after="0" w:line="240" w:lineRule="auto"/>
              <w:rPr>
                <w:bCs/>
                <w:color w:val="auto"/>
                <w:sz w:val="22"/>
                <w:szCs w:val="22"/>
              </w:rPr>
            </w:pPr>
            <w:r w:rsidRPr="007E1485">
              <w:rPr>
                <w:bCs/>
                <w:color w:val="auto"/>
                <w:sz w:val="22"/>
                <w:szCs w:val="22"/>
              </w:rPr>
              <w:t>Regulation safe spaces developed around the school.</w:t>
            </w:r>
          </w:p>
          <w:p w14:paraId="2CCDC0E1" w14:textId="77777777" w:rsidR="001D7854" w:rsidRPr="007E1485" w:rsidRDefault="001D7854" w:rsidP="001D7854">
            <w:pPr>
              <w:pStyle w:val="ListParagraph"/>
              <w:numPr>
                <w:ilvl w:val="0"/>
                <w:numId w:val="21"/>
              </w:numPr>
              <w:spacing w:after="0" w:line="240" w:lineRule="auto"/>
              <w:rPr>
                <w:bCs/>
                <w:color w:val="auto"/>
                <w:sz w:val="22"/>
                <w:szCs w:val="22"/>
              </w:rPr>
            </w:pPr>
            <w:r w:rsidRPr="007E1485">
              <w:rPr>
                <w:bCs/>
                <w:color w:val="auto"/>
                <w:sz w:val="22"/>
                <w:szCs w:val="22"/>
              </w:rPr>
              <w:t>Visual representation of the zones approach in classrooms and communal areas of the school.</w:t>
            </w:r>
          </w:p>
          <w:p w14:paraId="7ED88DD1" w14:textId="6F7D2150" w:rsidR="001D7854" w:rsidRPr="007E1485" w:rsidRDefault="001D7854" w:rsidP="001D7854">
            <w:pPr>
              <w:pStyle w:val="ListParagraph"/>
              <w:numPr>
                <w:ilvl w:val="0"/>
                <w:numId w:val="21"/>
              </w:numPr>
              <w:spacing w:after="0" w:line="240" w:lineRule="auto"/>
              <w:rPr>
                <w:color w:val="0D0D0D" w:themeColor="text1" w:themeTint="F2"/>
                <w:sz w:val="22"/>
                <w:szCs w:val="22"/>
              </w:rPr>
            </w:pPr>
            <w:r w:rsidRPr="007E1485">
              <w:rPr>
                <w:bCs/>
                <w:color w:val="auto"/>
                <w:sz w:val="22"/>
                <w:szCs w:val="22"/>
              </w:rPr>
              <w:t>Purchase resources to enhance the Zones of Regulation work.</w:t>
            </w:r>
          </w:p>
          <w:p w14:paraId="461E4D40" w14:textId="3996E2E6" w:rsidR="001D7854" w:rsidRPr="007E1485" w:rsidRDefault="001D7854" w:rsidP="5232AB27">
            <w:pPr>
              <w:pStyle w:val="ListParagraph"/>
              <w:numPr>
                <w:ilvl w:val="0"/>
                <w:numId w:val="21"/>
              </w:numPr>
              <w:spacing w:after="0" w:line="240" w:lineRule="auto"/>
              <w:rPr>
                <w:color w:val="0D0D0D" w:themeColor="text1" w:themeTint="F2"/>
                <w:sz w:val="22"/>
                <w:szCs w:val="22"/>
              </w:rPr>
            </w:pPr>
            <w:r w:rsidRPr="007E1485">
              <w:rPr>
                <w:bCs/>
                <w:color w:val="auto"/>
                <w:sz w:val="22"/>
                <w:szCs w:val="22"/>
              </w:rPr>
              <w:t>Create a Zones of Regulation parent and pupil video for school website.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AAFEB1" w14:textId="77777777" w:rsidR="00713F8D" w:rsidRDefault="00713F8D" w:rsidP="00713F8D">
            <w:pPr>
              <w:pStyle w:val="TableRowCentered"/>
              <w:ind w:left="0"/>
              <w:jc w:val="left"/>
              <w:rPr>
                <w:sz w:val="22"/>
              </w:rPr>
            </w:pPr>
            <w:r>
              <w:rPr>
                <w:sz w:val="22"/>
              </w:rPr>
              <w:t xml:space="preserve">EEF evidence: </w:t>
            </w:r>
          </w:p>
          <w:p w14:paraId="19F9AB8A" w14:textId="77777777" w:rsidR="00713F8D" w:rsidRDefault="00713F8D" w:rsidP="00713F8D">
            <w:pPr>
              <w:pStyle w:val="TableRowCentered"/>
              <w:ind w:left="0"/>
              <w:jc w:val="left"/>
              <w:rPr>
                <w:sz w:val="22"/>
              </w:rPr>
            </w:pPr>
            <w:r>
              <w:rPr>
                <w:sz w:val="22"/>
              </w:rPr>
              <w:t>Social and emotional learning + 4 months</w:t>
            </w:r>
          </w:p>
          <w:p w14:paraId="372D3B24" w14:textId="77777777" w:rsidR="00713F8D" w:rsidRDefault="00713F8D" w:rsidP="00713F8D">
            <w:pPr>
              <w:pStyle w:val="TableRowCentered"/>
              <w:ind w:left="0"/>
              <w:jc w:val="left"/>
              <w:rPr>
                <w:sz w:val="22"/>
              </w:rPr>
            </w:pPr>
            <w:r>
              <w:rPr>
                <w:sz w:val="22"/>
              </w:rPr>
              <w:t xml:space="preserve">Parental engagement + 4 months </w:t>
            </w:r>
          </w:p>
          <w:p w14:paraId="13866093" w14:textId="77777777" w:rsidR="001D7854" w:rsidRDefault="001D7854" w:rsidP="001D7854">
            <w:pPr>
              <w:pStyle w:val="TableRowCentered"/>
              <w:jc w:val="left"/>
              <w:rPr>
                <w:sz w:val="22"/>
              </w:rPr>
            </w:pP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33B674" w14:textId="09CFAD98" w:rsidR="001D7854" w:rsidRDefault="00B1702D" w:rsidP="001D7854">
            <w:pPr>
              <w:pStyle w:val="TableRowCentered"/>
              <w:jc w:val="left"/>
              <w:rPr>
                <w:sz w:val="22"/>
              </w:rPr>
            </w:pPr>
            <w:r>
              <w:rPr>
                <w:sz w:val="22"/>
              </w:rPr>
              <w:t xml:space="preserve">1, 2, 3, 4 </w:t>
            </w:r>
          </w:p>
        </w:tc>
      </w:tr>
    </w:tbl>
    <w:p w14:paraId="04619D62" w14:textId="292B85A0" w:rsidR="00A84DE7" w:rsidRPr="00754F50" w:rsidRDefault="00A84DE7">
      <w:pPr>
        <w:rPr>
          <w:b/>
          <w:color w:val="auto"/>
        </w:rPr>
      </w:pPr>
    </w:p>
    <w:p w14:paraId="5F127EBC" w14:textId="70AF4585" w:rsidR="003468A0" w:rsidRPr="002F7A56" w:rsidRDefault="005D22DD">
      <w:pPr>
        <w:rPr>
          <w:color w:val="auto"/>
        </w:rPr>
      </w:pPr>
      <w:r w:rsidRPr="00754F50">
        <w:rPr>
          <w:b/>
          <w:bCs/>
          <w:color w:val="auto"/>
          <w:sz w:val="28"/>
          <w:szCs w:val="28"/>
        </w:rPr>
        <w:t xml:space="preserve">Total budgeted cost: £ </w:t>
      </w:r>
      <w:r w:rsidR="00D17DA0" w:rsidRPr="00D17DA0">
        <w:rPr>
          <w:color w:val="auto"/>
          <w:sz w:val="28"/>
          <w:szCs w:val="28"/>
        </w:rPr>
        <w:t>1</w:t>
      </w:r>
      <w:r w:rsidR="00722F9A">
        <w:rPr>
          <w:color w:val="auto"/>
          <w:sz w:val="28"/>
          <w:szCs w:val="28"/>
        </w:rPr>
        <w:t>8</w:t>
      </w:r>
      <w:r w:rsidR="00D17DA0" w:rsidRPr="00D17DA0">
        <w:rPr>
          <w:color w:val="auto"/>
          <w:sz w:val="28"/>
          <w:szCs w:val="28"/>
        </w:rPr>
        <w:t>,</w:t>
      </w:r>
      <w:r w:rsidR="00FF27FA">
        <w:rPr>
          <w:color w:val="auto"/>
          <w:sz w:val="28"/>
          <w:szCs w:val="28"/>
        </w:rPr>
        <w:t>300</w:t>
      </w:r>
    </w:p>
    <w:p w14:paraId="6ECEF26E" w14:textId="0B54B84C" w:rsidR="31D2A77B" w:rsidRDefault="31D2A77B" w:rsidP="31D2A77B">
      <w:pPr>
        <w:pStyle w:val="Heading1"/>
        <w:rPr>
          <w:color w:val="7030A0"/>
          <w:sz w:val="32"/>
          <w:szCs w:val="32"/>
        </w:rPr>
      </w:pPr>
    </w:p>
    <w:p w14:paraId="786C8124" w14:textId="7F01AB38" w:rsidR="31D2A77B" w:rsidRDefault="31D2A77B" w:rsidP="31D2A77B">
      <w:pPr>
        <w:pStyle w:val="Heading1"/>
        <w:rPr>
          <w:color w:val="7030A0"/>
          <w:sz w:val="32"/>
          <w:szCs w:val="32"/>
        </w:rPr>
      </w:pPr>
    </w:p>
    <w:p w14:paraId="29299BF4" w14:textId="688B11E6" w:rsidR="31D2A77B" w:rsidRDefault="31D2A77B" w:rsidP="31D2A77B">
      <w:pPr>
        <w:pStyle w:val="Heading1"/>
        <w:rPr>
          <w:color w:val="7030A0"/>
          <w:sz w:val="32"/>
          <w:szCs w:val="32"/>
        </w:rPr>
      </w:pPr>
    </w:p>
    <w:p w14:paraId="5812D83E" w14:textId="669D0DD5" w:rsidR="003D78A6" w:rsidRPr="00A445D6" w:rsidRDefault="003D78A6" w:rsidP="003D78A6">
      <w:pPr>
        <w:pStyle w:val="Heading1"/>
        <w:rPr>
          <w:color w:val="7030A0"/>
          <w:sz w:val="32"/>
          <w:szCs w:val="32"/>
        </w:rPr>
      </w:pPr>
      <w:r w:rsidRPr="00A445D6">
        <w:rPr>
          <w:color w:val="7030A0"/>
          <w:sz w:val="32"/>
          <w:szCs w:val="32"/>
        </w:rPr>
        <w:t>Part B: Review of outcomes in the previous academic year</w:t>
      </w:r>
      <w:r w:rsidR="00A445D6" w:rsidRPr="00A445D6">
        <w:rPr>
          <w:color w:val="7030A0"/>
          <w:sz w:val="32"/>
          <w:szCs w:val="32"/>
        </w:rPr>
        <w:t xml:space="preserve"> 2020-2021</w:t>
      </w:r>
    </w:p>
    <w:p w14:paraId="65FEABF2" w14:textId="795CFA81" w:rsidR="003D78A6" w:rsidRPr="00754F50" w:rsidRDefault="003D78A6" w:rsidP="003D78A6">
      <w:pPr>
        <w:pStyle w:val="Heading2"/>
        <w:rPr>
          <w:color w:val="7030A0"/>
        </w:rPr>
      </w:pPr>
      <w:r w:rsidRPr="00754F50">
        <w:rPr>
          <w:color w:val="7030A0"/>
        </w:rPr>
        <w:t>Pupil premium strategy outcomes</w:t>
      </w:r>
      <w:r w:rsidR="00EE2190">
        <w:rPr>
          <w:color w:val="7030A0"/>
        </w:rPr>
        <w:t xml:space="preserve"> (Teacher Assessed)</w:t>
      </w:r>
    </w:p>
    <w:p w14:paraId="0C4D369F" w14:textId="4E221493" w:rsidR="00DB3D8C" w:rsidRDefault="003D78A6" w:rsidP="003D78A6">
      <w:r>
        <w:t xml:space="preserve">This details the impact that our pupil premium activity had on pupils in the 2020 to 2021 academic year. </w:t>
      </w:r>
    </w:p>
    <w:p w14:paraId="38FD3586" w14:textId="5E10D08C" w:rsidR="004A4ACA" w:rsidRDefault="004A4ACA" w:rsidP="004A4ACA">
      <w:pPr>
        <w:spacing w:before="120"/>
        <w:rPr>
          <w:i/>
        </w:rPr>
      </w:pPr>
      <w:r w:rsidRPr="0023424F">
        <w:rPr>
          <w:bCs/>
          <w:color w:val="auto"/>
        </w:rPr>
        <w:t xml:space="preserve">In identifying priorities, school leaders </w:t>
      </w:r>
      <w:r>
        <w:rPr>
          <w:bCs/>
          <w:color w:val="auto"/>
        </w:rPr>
        <w:t>will</w:t>
      </w:r>
      <w:r w:rsidRPr="0023424F">
        <w:rPr>
          <w:bCs/>
          <w:color w:val="auto"/>
        </w:rPr>
        <w:t xml:space="preserve"> take account of a wide range of information about the learning of disadvantaged pupils in informing them about the barriers to future attainment</w:t>
      </w:r>
      <w:r>
        <w:rPr>
          <w:bCs/>
          <w:color w:val="auto"/>
        </w:rPr>
        <w:t xml:space="preserve"> and progress</w:t>
      </w:r>
      <w:r w:rsidRPr="0023424F">
        <w:rPr>
          <w:bCs/>
          <w:color w:val="auto"/>
        </w:rPr>
        <w:t>.</w:t>
      </w:r>
      <w:r w:rsidRPr="004A4ACA">
        <w:rPr>
          <w:i/>
        </w:rPr>
        <w:t xml:space="preserve"> </w:t>
      </w:r>
      <w:r w:rsidRPr="00EF123E">
        <w:rPr>
          <w:b/>
          <w:bCs/>
          <w:i/>
        </w:rPr>
        <w:t>Due to COVID-19, performance measures have not been published for 2020 to 2021, and 2020 to 2021 results will not be used to hold schools to account.</w:t>
      </w:r>
      <w:r>
        <w:rPr>
          <w:i/>
        </w:rPr>
        <w:t xml:space="preserve"> </w:t>
      </w:r>
    </w:p>
    <w:p w14:paraId="38F10987" w14:textId="33CE7770" w:rsidR="00A4113A" w:rsidRDefault="00A4113A" w:rsidP="004A4ACA">
      <w:pPr>
        <w:spacing w:before="120"/>
        <w:rPr>
          <w:iCs/>
        </w:rPr>
      </w:pPr>
      <w:r>
        <w:rPr>
          <w:iCs/>
        </w:rPr>
        <w:t xml:space="preserve">BWMAT </w:t>
      </w:r>
    </w:p>
    <w:p w14:paraId="1DFED4CC" w14:textId="13BD4C0A" w:rsidR="00F71B5D" w:rsidRPr="00A4113A" w:rsidRDefault="578DEAD9" w:rsidP="004A4ACA">
      <w:pPr>
        <w:spacing w:before="120"/>
        <w:rPr>
          <w:iCs/>
        </w:rPr>
      </w:pPr>
      <w:r>
        <w:t xml:space="preserve">   </w:t>
      </w:r>
      <w:r>
        <w:rPr>
          <w:noProof/>
        </w:rPr>
        <w:drawing>
          <wp:inline distT="0" distB="0" distL="0" distR="0" wp14:anchorId="6FB836C3" wp14:editId="2CB91C4F">
            <wp:extent cx="5867400" cy="1149032"/>
            <wp:effectExtent l="0" t="0" r="0" b="0"/>
            <wp:docPr id="1734608671" name="Picture 173460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867400" cy="1149032"/>
                    </a:xfrm>
                    <a:prstGeom prst="rect">
                      <a:avLst/>
                    </a:prstGeom>
                  </pic:spPr>
                </pic:pic>
              </a:graphicData>
            </a:graphic>
          </wp:inline>
        </w:drawing>
      </w:r>
      <w:r w:rsidR="00F71B5D">
        <w:rPr>
          <w:noProof/>
        </w:rPr>
        <w:drawing>
          <wp:inline distT="0" distB="0" distL="0" distR="0" wp14:anchorId="4AC2950E" wp14:editId="3680A743">
            <wp:extent cx="6089288" cy="1142062"/>
            <wp:effectExtent l="0" t="0" r="8255"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6089288" cy="1142062"/>
                    </a:xfrm>
                    <a:prstGeom prst="rect">
                      <a:avLst/>
                    </a:prstGeom>
                  </pic:spPr>
                </pic:pic>
              </a:graphicData>
            </a:graphic>
          </wp:inline>
        </w:drawing>
      </w:r>
    </w:p>
    <w:p w14:paraId="444E4985" w14:textId="099C9985" w:rsidR="00841F4A" w:rsidRDefault="00841F4A" w:rsidP="00F71B5D">
      <w:pPr>
        <w:ind w:left="720" w:hanging="360"/>
      </w:pPr>
    </w:p>
    <w:tbl>
      <w:tblPr>
        <w:tblStyle w:val="TableGrid1"/>
        <w:tblW w:w="10491" w:type="dxa"/>
        <w:tblInd w:w="-431" w:type="dxa"/>
        <w:tblLayout w:type="fixed"/>
        <w:tblLook w:val="04A0" w:firstRow="1" w:lastRow="0" w:firstColumn="1" w:lastColumn="0" w:noHBand="0" w:noVBand="1"/>
      </w:tblPr>
      <w:tblGrid>
        <w:gridCol w:w="4679"/>
        <w:gridCol w:w="4678"/>
        <w:gridCol w:w="1134"/>
      </w:tblGrid>
      <w:tr w:rsidR="00EB347F" w:rsidRPr="004F0DEF" w14:paraId="1FC66ECE" w14:textId="77777777" w:rsidTr="612E359A">
        <w:tc>
          <w:tcPr>
            <w:tcW w:w="10491" w:type="dxa"/>
            <w:gridSpan w:val="3"/>
            <w:shd w:val="clear" w:color="auto" w:fill="D1CFFD"/>
            <w:tcMar>
              <w:top w:w="57" w:type="dxa"/>
              <w:bottom w:w="57" w:type="dxa"/>
            </w:tcMar>
          </w:tcPr>
          <w:p w14:paraId="472634DA"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b/>
                <w:bCs/>
                <w:color w:val="auto"/>
                <w:sz w:val="22"/>
                <w:szCs w:val="22"/>
              </w:rPr>
              <w:t>Review of expenditure 2020 - 2021</w:t>
            </w:r>
          </w:p>
        </w:tc>
      </w:tr>
      <w:tr w:rsidR="00EB347F" w:rsidRPr="004F0DEF" w14:paraId="7A0D8385" w14:textId="77777777" w:rsidTr="612E359A">
        <w:tc>
          <w:tcPr>
            <w:tcW w:w="10491" w:type="dxa"/>
            <w:gridSpan w:val="3"/>
            <w:shd w:val="clear" w:color="auto" w:fill="D1CFFD"/>
            <w:tcMar>
              <w:top w:w="57" w:type="dxa"/>
              <w:bottom w:w="57" w:type="dxa"/>
            </w:tcMar>
          </w:tcPr>
          <w:p w14:paraId="1A95A5FC" w14:textId="1C9CA603" w:rsidR="004F0DEF" w:rsidRPr="004F0DEF" w:rsidRDefault="00E27E88" w:rsidP="004F0DEF">
            <w:pPr>
              <w:numPr>
                <w:ilvl w:val="0"/>
                <w:numId w:val="17"/>
              </w:numPr>
              <w:suppressAutoHyphens w:val="0"/>
              <w:spacing w:after="0" w:line="240" w:lineRule="auto"/>
              <w:rPr>
                <w:rFonts w:ascii="Arial" w:hAnsi="Arial" w:cs="Arial"/>
                <w:b/>
                <w:bCs/>
                <w:color w:val="auto"/>
                <w:sz w:val="22"/>
                <w:szCs w:val="22"/>
              </w:rPr>
            </w:pPr>
            <w:r w:rsidRPr="00502FB2">
              <w:rPr>
                <w:rFonts w:ascii="Arial" w:hAnsi="Arial" w:cs="Arial"/>
                <w:b/>
                <w:bCs/>
                <w:color w:val="auto"/>
                <w:sz w:val="22"/>
                <w:szCs w:val="22"/>
              </w:rPr>
              <w:t>Teaching</w:t>
            </w:r>
          </w:p>
        </w:tc>
      </w:tr>
      <w:tr w:rsidR="00D53A8B" w:rsidRPr="004F0DEF" w14:paraId="2A6A4F51" w14:textId="77777777" w:rsidTr="612E359A">
        <w:trPr>
          <w:trHeight w:val="57"/>
        </w:trPr>
        <w:tc>
          <w:tcPr>
            <w:tcW w:w="4679" w:type="dxa"/>
            <w:tcMar>
              <w:top w:w="57" w:type="dxa"/>
              <w:bottom w:w="57" w:type="dxa"/>
            </w:tcMar>
          </w:tcPr>
          <w:p w14:paraId="737B7063" w14:textId="77777777" w:rsidR="004F0DEF" w:rsidRPr="004F0DEF" w:rsidRDefault="004F0DEF" w:rsidP="004F0DEF">
            <w:pPr>
              <w:suppressAutoHyphens w:val="0"/>
              <w:spacing w:after="0" w:line="240" w:lineRule="auto"/>
              <w:rPr>
                <w:rFonts w:cs="Arial"/>
                <w:color w:val="auto"/>
                <w:sz w:val="22"/>
                <w:szCs w:val="22"/>
              </w:rPr>
            </w:pPr>
            <w:r w:rsidRPr="004F0DEF">
              <w:rPr>
                <w:rFonts w:cs="Arial"/>
                <w:b/>
                <w:bCs/>
                <w:color w:val="auto"/>
                <w:sz w:val="22"/>
                <w:szCs w:val="22"/>
              </w:rPr>
              <w:t>Outcomes and Impact</w:t>
            </w:r>
            <w:r w:rsidRPr="004F0DEF">
              <w:rPr>
                <w:rFonts w:cs="Arial"/>
                <w:color w:val="auto"/>
                <w:sz w:val="22"/>
                <w:szCs w:val="22"/>
              </w:rPr>
              <w:t xml:space="preserve"> Include impact on pupils not eligible for PP, if appropriate</w:t>
            </w:r>
          </w:p>
        </w:tc>
        <w:tc>
          <w:tcPr>
            <w:tcW w:w="4678" w:type="dxa"/>
            <w:tcMar>
              <w:top w:w="57" w:type="dxa"/>
              <w:bottom w:w="57" w:type="dxa"/>
            </w:tcMar>
          </w:tcPr>
          <w:p w14:paraId="61937588"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b/>
                <w:bCs/>
                <w:color w:val="auto"/>
                <w:sz w:val="22"/>
                <w:szCs w:val="22"/>
              </w:rPr>
              <w:t xml:space="preserve">Lessons learned </w:t>
            </w:r>
          </w:p>
          <w:p w14:paraId="7110CE13"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color w:val="auto"/>
                <w:sz w:val="22"/>
                <w:szCs w:val="22"/>
              </w:rPr>
              <w:t>(and whether you will continue with this approach)</w:t>
            </w:r>
          </w:p>
        </w:tc>
        <w:tc>
          <w:tcPr>
            <w:tcW w:w="1134" w:type="dxa"/>
          </w:tcPr>
          <w:p w14:paraId="2CBEAFC8"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b/>
                <w:bCs/>
                <w:color w:val="auto"/>
                <w:sz w:val="22"/>
                <w:szCs w:val="22"/>
              </w:rPr>
              <w:t>Cost</w:t>
            </w:r>
          </w:p>
        </w:tc>
      </w:tr>
      <w:tr w:rsidR="00D53A8B" w:rsidRPr="004F0DEF" w14:paraId="3D6E3F29" w14:textId="77777777" w:rsidTr="612E359A">
        <w:trPr>
          <w:trHeight w:hRule="exact" w:val="2022"/>
        </w:trPr>
        <w:tc>
          <w:tcPr>
            <w:tcW w:w="4679" w:type="dxa"/>
            <w:tcMar>
              <w:top w:w="57" w:type="dxa"/>
              <w:bottom w:w="57" w:type="dxa"/>
            </w:tcMar>
          </w:tcPr>
          <w:p w14:paraId="082C2033" w14:textId="7F94FFE3" w:rsidR="00D07E8F" w:rsidRDefault="00402066" w:rsidP="00B339A2">
            <w:pPr>
              <w:rPr>
                <w:bCs/>
              </w:rPr>
            </w:pPr>
            <w:r w:rsidRPr="00B339A2">
              <w:rPr>
                <w:bCs/>
                <w:sz w:val="22"/>
                <w:szCs w:val="22"/>
              </w:rPr>
              <w:t>PIRA and PUMA assessments</w:t>
            </w:r>
            <w:r w:rsidR="00DD2DFE" w:rsidRPr="00B339A2">
              <w:rPr>
                <w:bCs/>
                <w:sz w:val="22"/>
                <w:szCs w:val="22"/>
              </w:rPr>
              <w:t xml:space="preserve"> used to inform class catch-up plans</w:t>
            </w:r>
            <w:r w:rsidRPr="00B339A2">
              <w:rPr>
                <w:bCs/>
                <w:sz w:val="22"/>
                <w:szCs w:val="22"/>
              </w:rPr>
              <w:t xml:space="preserve">. </w:t>
            </w:r>
            <w:r w:rsidR="00C96824" w:rsidRPr="00B339A2">
              <w:rPr>
                <w:bCs/>
                <w:sz w:val="22"/>
                <w:szCs w:val="22"/>
              </w:rPr>
              <w:t xml:space="preserve">Pupil Progress meetings after assessments (at data drop points) </w:t>
            </w:r>
            <w:r w:rsidR="00212EBD" w:rsidRPr="00B339A2">
              <w:rPr>
                <w:bCs/>
                <w:sz w:val="22"/>
                <w:szCs w:val="22"/>
              </w:rPr>
              <w:t>Further resources</w:t>
            </w:r>
            <w:r w:rsidR="00B339A2" w:rsidRPr="00B339A2">
              <w:rPr>
                <w:bCs/>
                <w:sz w:val="22"/>
                <w:szCs w:val="22"/>
              </w:rPr>
              <w:t xml:space="preserve"> such as DfE Maths Ready to Progress Criteria</w:t>
            </w:r>
            <w:r w:rsidR="00212EBD" w:rsidRPr="00B339A2">
              <w:rPr>
                <w:bCs/>
                <w:sz w:val="22"/>
                <w:szCs w:val="22"/>
              </w:rPr>
              <w:t xml:space="preserve"> used to</w:t>
            </w:r>
            <w:r w:rsidR="00D07E8F" w:rsidRPr="00B339A2">
              <w:rPr>
                <w:bCs/>
                <w:sz w:val="22"/>
                <w:szCs w:val="22"/>
              </w:rPr>
              <w:t xml:space="preserve"> highlight gaps in essential reading, writing and maths</w:t>
            </w:r>
            <w:r w:rsidR="00D07E8F">
              <w:rPr>
                <w:bCs/>
              </w:rPr>
              <w:t xml:space="preserve"> knowledge</w:t>
            </w:r>
            <w:r w:rsidR="00601E0A">
              <w:rPr>
                <w:bCs/>
              </w:rPr>
              <w:t xml:space="preserve">. </w:t>
            </w:r>
          </w:p>
          <w:p w14:paraId="5464546E" w14:textId="77777777" w:rsidR="00601E0A" w:rsidRDefault="00601E0A" w:rsidP="00B339A2">
            <w:pPr>
              <w:rPr>
                <w:bCs/>
              </w:rPr>
            </w:pPr>
          </w:p>
          <w:p w14:paraId="4B71B117" w14:textId="1FDBF575" w:rsidR="00601E0A" w:rsidRPr="00C96824" w:rsidRDefault="00601E0A" w:rsidP="00B339A2">
            <w:pPr>
              <w:rPr>
                <w:bCs/>
              </w:rPr>
            </w:pPr>
          </w:p>
        </w:tc>
        <w:tc>
          <w:tcPr>
            <w:tcW w:w="4678" w:type="dxa"/>
            <w:tcMar>
              <w:top w:w="57" w:type="dxa"/>
              <w:bottom w:w="57" w:type="dxa"/>
            </w:tcMar>
          </w:tcPr>
          <w:p w14:paraId="4E1BD4F6" w14:textId="34DA551E" w:rsidR="004F0DEF" w:rsidRPr="00EF796E" w:rsidRDefault="00EE0DE9" w:rsidP="004F0DEF">
            <w:pPr>
              <w:suppressAutoHyphens w:val="0"/>
              <w:autoSpaceDE w:val="0"/>
              <w:adjustRightInd w:val="0"/>
              <w:spacing w:after="0" w:line="240" w:lineRule="auto"/>
              <w:rPr>
                <w:bCs/>
                <w:sz w:val="22"/>
                <w:szCs w:val="22"/>
              </w:rPr>
            </w:pPr>
            <w:r w:rsidRPr="00EF796E">
              <w:rPr>
                <w:bCs/>
                <w:sz w:val="22"/>
                <w:szCs w:val="22"/>
              </w:rPr>
              <w:t>We will continue this approach which</w:t>
            </w:r>
            <w:r w:rsidR="001D440E" w:rsidRPr="00EF796E">
              <w:rPr>
                <w:bCs/>
                <w:sz w:val="22"/>
                <w:szCs w:val="22"/>
              </w:rPr>
              <w:t xml:space="preserve"> helped us to effectively identify gaps</w:t>
            </w:r>
            <w:r w:rsidR="00D14CB5" w:rsidRPr="00EF796E">
              <w:rPr>
                <w:bCs/>
                <w:sz w:val="22"/>
                <w:szCs w:val="22"/>
              </w:rPr>
              <w:t xml:space="preserve"> and plan responsive teaching</w:t>
            </w:r>
            <w:r w:rsidR="001D440E" w:rsidRPr="00EF796E">
              <w:rPr>
                <w:bCs/>
                <w:sz w:val="22"/>
                <w:szCs w:val="22"/>
              </w:rPr>
              <w:t xml:space="preserve">. </w:t>
            </w:r>
          </w:p>
          <w:p w14:paraId="3B1A97B3" w14:textId="77777777" w:rsidR="0029062B" w:rsidRPr="00EF796E" w:rsidRDefault="00013C18" w:rsidP="004F0DEF">
            <w:pPr>
              <w:suppressAutoHyphens w:val="0"/>
              <w:autoSpaceDE w:val="0"/>
              <w:adjustRightInd w:val="0"/>
              <w:spacing w:after="0" w:line="240" w:lineRule="auto"/>
              <w:rPr>
                <w:bCs/>
                <w:sz w:val="22"/>
                <w:szCs w:val="22"/>
              </w:rPr>
            </w:pPr>
            <w:r w:rsidRPr="00EF796E">
              <w:rPr>
                <w:bCs/>
                <w:sz w:val="22"/>
                <w:szCs w:val="22"/>
              </w:rPr>
              <w:t xml:space="preserve">We will further embed this approach into our SEND practice, using </w:t>
            </w:r>
            <w:r w:rsidR="00D14CB5" w:rsidRPr="00EF796E">
              <w:rPr>
                <w:bCs/>
                <w:sz w:val="22"/>
                <w:szCs w:val="22"/>
              </w:rPr>
              <w:t>the PIRA PUMA identified gaps to i</w:t>
            </w:r>
            <w:r w:rsidR="0029062B" w:rsidRPr="00EF796E">
              <w:rPr>
                <w:bCs/>
                <w:sz w:val="22"/>
                <w:szCs w:val="22"/>
              </w:rPr>
              <w:t xml:space="preserve">nform pupil targets. </w:t>
            </w:r>
          </w:p>
          <w:p w14:paraId="0EC029AF" w14:textId="77777777" w:rsidR="0029062B" w:rsidRDefault="0029062B" w:rsidP="004F0DEF">
            <w:pPr>
              <w:suppressAutoHyphens w:val="0"/>
              <w:autoSpaceDE w:val="0"/>
              <w:adjustRightInd w:val="0"/>
              <w:spacing w:after="0" w:line="240" w:lineRule="auto"/>
              <w:rPr>
                <w:bCs/>
              </w:rPr>
            </w:pPr>
          </w:p>
          <w:p w14:paraId="2E800F99" w14:textId="77777777" w:rsidR="00B56502" w:rsidRDefault="00B56502" w:rsidP="004F0DEF">
            <w:pPr>
              <w:suppressAutoHyphens w:val="0"/>
              <w:autoSpaceDE w:val="0"/>
              <w:adjustRightInd w:val="0"/>
              <w:spacing w:after="0" w:line="240" w:lineRule="auto"/>
              <w:rPr>
                <w:bCs/>
              </w:rPr>
            </w:pPr>
          </w:p>
          <w:p w14:paraId="010963AB" w14:textId="77777777" w:rsidR="00B56502" w:rsidRDefault="00B56502" w:rsidP="004F0DEF">
            <w:pPr>
              <w:suppressAutoHyphens w:val="0"/>
              <w:autoSpaceDE w:val="0"/>
              <w:adjustRightInd w:val="0"/>
              <w:spacing w:after="0" w:line="240" w:lineRule="auto"/>
              <w:rPr>
                <w:bCs/>
              </w:rPr>
            </w:pPr>
          </w:p>
          <w:p w14:paraId="40E3BA44" w14:textId="77777777" w:rsidR="00B56502" w:rsidRDefault="00B56502" w:rsidP="004F0DEF">
            <w:pPr>
              <w:suppressAutoHyphens w:val="0"/>
              <w:autoSpaceDE w:val="0"/>
              <w:adjustRightInd w:val="0"/>
              <w:spacing w:after="0" w:line="240" w:lineRule="auto"/>
              <w:rPr>
                <w:bCs/>
              </w:rPr>
            </w:pPr>
          </w:p>
          <w:p w14:paraId="63A390F3" w14:textId="063A89AB" w:rsidR="00013C18" w:rsidRPr="004F0DEF" w:rsidRDefault="00013C18" w:rsidP="004F0DEF">
            <w:pPr>
              <w:suppressAutoHyphens w:val="0"/>
              <w:autoSpaceDE w:val="0"/>
              <w:adjustRightInd w:val="0"/>
              <w:spacing w:after="0" w:line="240" w:lineRule="auto"/>
              <w:rPr>
                <w:rFonts w:ascii="Arial" w:hAnsi="Arial" w:cs="Arial"/>
                <w:color w:val="auto"/>
                <w:sz w:val="22"/>
                <w:szCs w:val="22"/>
              </w:rPr>
            </w:pPr>
            <w:r>
              <w:rPr>
                <w:rFonts w:ascii="Arial" w:hAnsi="Arial" w:cs="Arial"/>
                <w:color w:val="auto"/>
                <w:sz w:val="22"/>
                <w:szCs w:val="22"/>
              </w:rPr>
              <w:t xml:space="preserve"> </w:t>
            </w:r>
          </w:p>
        </w:tc>
        <w:tc>
          <w:tcPr>
            <w:tcW w:w="1134" w:type="dxa"/>
          </w:tcPr>
          <w:p w14:paraId="14FCB311" w14:textId="5C3E1776" w:rsidR="004F0DEF" w:rsidRPr="004F0DEF" w:rsidRDefault="006747E5" w:rsidP="004F0DEF">
            <w:pPr>
              <w:suppressAutoHyphens w:val="0"/>
              <w:spacing w:after="0" w:line="240" w:lineRule="auto"/>
              <w:rPr>
                <w:rFonts w:ascii="Arial" w:hAnsi="Arial" w:cs="Arial"/>
                <w:color w:val="auto"/>
                <w:sz w:val="22"/>
                <w:szCs w:val="22"/>
              </w:rPr>
            </w:pPr>
            <w:r>
              <w:rPr>
                <w:rFonts w:ascii="Arial" w:hAnsi="Arial" w:cs="Arial"/>
                <w:color w:val="auto"/>
                <w:sz w:val="22"/>
                <w:szCs w:val="22"/>
              </w:rPr>
              <w:t xml:space="preserve">Nil from PP budget (£2000 Catch-up fund used) </w:t>
            </w:r>
          </w:p>
        </w:tc>
      </w:tr>
      <w:tr w:rsidR="00D53A8B" w:rsidRPr="004F0DEF" w14:paraId="19118186" w14:textId="77777777" w:rsidTr="612E359A">
        <w:trPr>
          <w:trHeight w:hRule="exact" w:val="2193"/>
        </w:trPr>
        <w:tc>
          <w:tcPr>
            <w:tcW w:w="4679" w:type="dxa"/>
            <w:tcMar>
              <w:top w:w="57" w:type="dxa"/>
              <w:bottom w:w="57" w:type="dxa"/>
            </w:tcMar>
          </w:tcPr>
          <w:p w14:paraId="1ACB27F2" w14:textId="77777777" w:rsidR="00702AD8" w:rsidRDefault="006307E2" w:rsidP="00B339A2">
            <w:pPr>
              <w:rPr>
                <w:bCs/>
                <w:sz w:val="22"/>
                <w:szCs w:val="22"/>
              </w:rPr>
            </w:pPr>
            <w:r>
              <w:rPr>
                <w:bCs/>
                <w:sz w:val="22"/>
                <w:szCs w:val="22"/>
              </w:rPr>
              <w:t xml:space="preserve">Impact on pupils </w:t>
            </w:r>
            <w:r w:rsidR="00934AEA">
              <w:rPr>
                <w:bCs/>
                <w:sz w:val="22"/>
                <w:szCs w:val="22"/>
              </w:rPr>
              <w:t xml:space="preserve">positive with 90% of pupils </w:t>
            </w:r>
            <w:r w:rsidR="008658BE">
              <w:rPr>
                <w:bCs/>
                <w:sz w:val="22"/>
                <w:szCs w:val="22"/>
              </w:rPr>
              <w:t xml:space="preserve">meeting their prior learning trajectory. </w:t>
            </w:r>
          </w:p>
          <w:p w14:paraId="434F2294" w14:textId="7508A8E8" w:rsidR="00AE53CF" w:rsidRPr="00B339A2" w:rsidRDefault="00AE53CF" w:rsidP="00B339A2">
            <w:pPr>
              <w:rPr>
                <w:bCs/>
                <w:sz w:val="22"/>
                <w:szCs w:val="22"/>
              </w:rPr>
            </w:pPr>
            <w:r>
              <w:rPr>
                <w:bCs/>
                <w:sz w:val="22"/>
                <w:szCs w:val="22"/>
              </w:rPr>
              <w:t xml:space="preserve">There is a gap in attainment </w:t>
            </w:r>
            <w:r w:rsidR="007E6913">
              <w:rPr>
                <w:bCs/>
                <w:sz w:val="22"/>
                <w:szCs w:val="22"/>
              </w:rPr>
              <w:t>for PP pupil</w:t>
            </w:r>
            <w:r w:rsidR="00B56502">
              <w:rPr>
                <w:bCs/>
                <w:sz w:val="22"/>
                <w:szCs w:val="22"/>
              </w:rPr>
              <w:t xml:space="preserve">s. Although these pupils made progress, many were working on curriculums below their year group. </w:t>
            </w:r>
          </w:p>
        </w:tc>
        <w:tc>
          <w:tcPr>
            <w:tcW w:w="4678" w:type="dxa"/>
            <w:tcMar>
              <w:top w:w="57" w:type="dxa"/>
              <w:bottom w:w="57" w:type="dxa"/>
            </w:tcMar>
          </w:tcPr>
          <w:p w14:paraId="776ABC76" w14:textId="77777777" w:rsidR="00E516A0" w:rsidRDefault="00E516A0" w:rsidP="004F0DEF">
            <w:pPr>
              <w:suppressAutoHyphens w:val="0"/>
              <w:autoSpaceDE w:val="0"/>
              <w:adjustRightInd w:val="0"/>
              <w:spacing w:after="0" w:line="240" w:lineRule="auto"/>
              <w:rPr>
                <w:bCs/>
              </w:rPr>
            </w:pPr>
          </w:p>
          <w:p w14:paraId="4CF420A5" w14:textId="1F2DADA5" w:rsidR="002F5894" w:rsidRDefault="00B56502" w:rsidP="004F0DEF">
            <w:pPr>
              <w:suppressAutoHyphens w:val="0"/>
              <w:autoSpaceDE w:val="0"/>
              <w:adjustRightInd w:val="0"/>
              <w:spacing w:after="0" w:line="240" w:lineRule="auto"/>
            </w:pPr>
            <w:r>
              <w:rPr>
                <w:bCs/>
              </w:rPr>
              <w:t xml:space="preserve">Ensure early </w:t>
            </w:r>
            <w:r w:rsidR="00AF01CF">
              <w:rPr>
                <w:bCs/>
              </w:rPr>
              <w:t xml:space="preserve">identification of barriers, including SEND. In some cases lockdown and the long period of remote learning </w:t>
            </w:r>
            <w:r w:rsidR="00922F2D">
              <w:rPr>
                <w:bCs/>
              </w:rPr>
              <w:t xml:space="preserve">made this challenging last year. </w:t>
            </w:r>
          </w:p>
          <w:p w14:paraId="128E95BA" w14:textId="77777777" w:rsidR="002F5894" w:rsidRDefault="002F5894" w:rsidP="004F0DEF">
            <w:pPr>
              <w:suppressAutoHyphens w:val="0"/>
              <w:autoSpaceDE w:val="0"/>
              <w:adjustRightInd w:val="0"/>
              <w:spacing w:after="0" w:line="240" w:lineRule="auto"/>
              <w:rPr>
                <w:bCs/>
              </w:rPr>
            </w:pPr>
          </w:p>
          <w:p w14:paraId="20EA3135" w14:textId="35F34769" w:rsidR="002F5894" w:rsidRDefault="002F5894" w:rsidP="004F0DEF">
            <w:pPr>
              <w:suppressAutoHyphens w:val="0"/>
              <w:autoSpaceDE w:val="0"/>
              <w:adjustRightInd w:val="0"/>
              <w:spacing w:after="0" w:line="240" w:lineRule="auto"/>
              <w:rPr>
                <w:color w:val="0D0D0D" w:themeColor="text1" w:themeTint="F2"/>
              </w:rPr>
            </w:pPr>
          </w:p>
          <w:p w14:paraId="4DEE55FE" w14:textId="54C83D72" w:rsidR="002F5894" w:rsidRPr="005745EE" w:rsidRDefault="002F5894" w:rsidP="004F0DEF">
            <w:pPr>
              <w:suppressAutoHyphens w:val="0"/>
              <w:autoSpaceDE w:val="0"/>
              <w:adjustRightInd w:val="0"/>
              <w:spacing w:after="0" w:line="240" w:lineRule="auto"/>
              <w:rPr>
                <w:bCs/>
              </w:rPr>
            </w:pPr>
          </w:p>
        </w:tc>
        <w:tc>
          <w:tcPr>
            <w:tcW w:w="1134" w:type="dxa"/>
          </w:tcPr>
          <w:p w14:paraId="4B65BD07" w14:textId="77777777" w:rsidR="00E516A0" w:rsidRDefault="00E516A0" w:rsidP="004F0DEF">
            <w:pPr>
              <w:suppressAutoHyphens w:val="0"/>
              <w:spacing w:after="0" w:line="240" w:lineRule="auto"/>
              <w:rPr>
                <w:rFonts w:cs="Arial"/>
                <w:color w:val="auto"/>
                <w:sz w:val="22"/>
                <w:szCs w:val="22"/>
              </w:rPr>
            </w:pPr>
          </w:p>
        </w:tc>
      </w:tr>
      <w:tr w:rsidR="00D53A8B" w:rsidRPr="004F0DEF" w14:paraId="304B5079" w14:textId="77777777" w:rsidTr="612E359A">
        <w:trPr>
          <w:trHeight w:hRule="exact" w:val="2022"/>
        </w:trPr>
        <w:tc>
          <w:tcPr>
            <w:tcW w:w="4679" w:type="dxa"/>
            <w:tcMar>
              <w:top w:w="57" w:type="dxa"/>
              <w:bottom w:w="57" w:type="dxa"/>
            </w:tcMar>
          </w:tcPr>
          <w:p w14:paraId="63CEF430" w14:textId="34E033B2" w:rsidR="008617FF" w:rsidRDefault="00321410" w:rsidP="002B79FC">
            <w:pPr>
              <w:spacing w:after="0"/>
              <w:rPr>
                <w:bCs/>
              </w:rPr>
            </w:pPr>
            <w:r>
              <w:rPr>
                <w:bCs/>
                <w:sz w:val="22"/>
                <w:szCs w:val="22"/>
              </w:rPr>
              <w:t>Research used</w:t>
            </w:r>
            <w:r w:rsidR="008617FF" w:rsidRPr="008617FF">
              <w:rPr>
                <w:bCs/>
                <w:sz w:val="22"/>
                <w:szCs w:val="22"/>
              </w:rPr>
              <w:t xml:space="preserve"> to identify best practice</w:t>
            </w:r>
            <w:r w:rsidR="002B79FC">
              <w:rPr>
                <w:bCs/>
                <w:sz w:val="22"/>
                <w:szCs w:val="22"/>
              </w:rPr>
              <w:t xml:space="preserve">. </w:t>
            </w:r>
            <w:r w:rsidR="00ED460C">
              <w:rPr>
                <w:bCs/>
                <w:sz w:val="22"/>
                <w:szCs w:val="22"/>
              </w:rPr>
              <w:t xml:space="preserve">A member of the staff team led CPD on the </w:t>
            </w:r>
            <w:r w:rsidR="008617FF" w:rsidRPr="008617FF">
              <w:rPr>
                <w:bCs/>
                <w:sz w:val="22"/>
                <w:szCs w:val="22"/>
              </w:rPr>
              <w:t xml:space="preserve">principles of effective instruction (Rosenshine), </w:t>
            </w:r>
          </w:p>
          <w:p w14:paraId="71B75A32" w14:textId="182BF59B" w:rsidR="0029062B" w:rsidRDefault="0029062B" w:rsidP="008617FF">
            <w:pPr>
              <w:rPr>
                <w:bCs/>
              </w:rPr>
            </w:pPr>
          </w:p>
        </w:tc>
        <w:tc>
          <w:tcPr>
            <w:tcW w:w="4678" w:type="dxa"/>
            <w:tcMar>
              <w:top w:w="57" w:type="dxa"/>
              <w:bottom w:w="57" w:type="dxa"/>
            </w:tcMar>
          </w:tcPr>
          <w:p w14:paraId="220C3730" w14:textId="43596E58" w:rsidR="0029062B" w:rsidRPr="005745EE" w:rsidRDefault="004411ED" w:rsidP="004F0DEF">
            <w:pPr>
              <w:suppressAutoHyphens w:val="0"/>
              <w:autoSpaceDE w:val="0"/>
              <w:adjustRightInd w:val="0"/>
              <w:spacing w:after="0" w:line="240" w:lineRule="auto"/>
              <w:rPr>
                <w:bCs/>
              </w:rPr>
            </w:pPr>
            <w:r>
              <w:rPr>
                <w:bCs/>
              </w:rPr>
              <w:t xml:space="preserve">These strategies supported </w:t>
            </w:r>
            <w:r w:rsidR="00367744">
              <w:rPr>
                <w:bCs/>
              </w:rPr>
              <w:t xml:space="preserve">PP children </w:t>
            </w:r>
            <w:r w:rsidR="00967098">
              <w:rPr>
                <w:bCs/>
              </w:rPr>
              <w:t>and need to be further embedded. Further CPD on m</w:t>
            </w:r>
            <w:r w:rsidR="00AD34C9">
              <w:rPr>
                <w:bCs/>
              </w:rPr>
              <w:t>etacognition and the importance of explicit teaching of vocabulary and background knowledge</w:t>
            </w:r>
            <w:r w:rsidR="00967098">
              <w:rPr>
                <w:bCs/>
              </w:rPr>
              <w:t xml:space="preserve"> to </w:t>
            </w:r>
            <w:r w:rsidR="00820B20">
              <w:rPr>
                <w:bCs/>
              </w:rPr>
              <w:t xml:space="preserve">be actioned next year. </w:t>
            </w:r>
          </w:p>
        </w:tc>
        <w:tc>
          <w:tcPr>
            <w:tcW w:w="1134" w:type="dxa"/>
          </w:tcPr>
          <w:p w14:paraId="49ADEC34" w14:textId="51F5420E" w:rsidR="0029062B" w:rsidRDefault="006747E5" w:rsidP="004F0DEF">
            <w:pPr>
              <w:suppressAutoHyphens w:val="0"/>
              <w:spacing w:after="0" w:line="240" w:lineRule="auto"/>
              <w:rPr>
                <w:rFonts w:cs="Arial"/>
                <w:color w:val="auto"/>
                <w:sz w:val="22"/>
                <w:szCs w:val="22"/>
              </w:rPr>
            </w:pPr>
            <w:r>
              <w:rPr>
                <w:rFonts w:cs="Arial"/>
                <w:color w:val="auto"/>
                <w:sz w:val="22"/>
                <w:szCs w:val="22"/>
              </w:rPr>
              <w:t>Nil</w:t>
            </w:r>
          </w:p>
        </w:tc>
      </w:tr>
      <w:tr w:rsidR="00EB347F" w:rsidRPr="004F0DEF" w14:paraId="61AAF3ED" w14:textId="77777777" w:rsidTr="612E359A">
        <w:trPr>
          <w:trHeight w:hRule="exact" w:val="312"/>
        </w:trPr>
        <w:tc>
          <w:tcPr>
            <w:tcW w:w="10491" w:type="dxa"/>
            <w:gridSpan w:val="3"/>
            <w:shd w:val="clear" w:color="auto" w:fill="D1CFFD"/>
            <w:tcMar>
              <w:top w:w="57" w:type="dxa"/>
              <w:bottom w:w="57" w:type="dxa"/>
            </w:tcMar>
          </w:tcPr>
          <w:p w14:paraId="4979D346" w14:textId="002CED35" w:rsidR="004F0DEF" w:rsidRPr="004F0DEF" w:rsidRDefault="004F0DEF" w:rsidP="004F0DEF">
            <w:pPr>
              <w:numPr>
                <w:ilvl w:val="0"/>
                <w:numId w:val="17"/>
              </w:numPr>
              <w:suppressAutoHyphens w:val="0"/>
              <w:spacing w:after="0" w:line="240" w:lineRule="auto"/>
              <w:rPr>
                <w:rFonts w:ascii="Arial" w:hAnsi="Arial" w:cs="Arial"/>
                <w:b/>
                <w:bCs/>
                <w:color w:val="auto"/>
                <w:sz w:val="22"/>
                <w:szCs w:val="22"/>
              </w:rPr>
            </w:pPr>
            <w:r w:rsidRPr="004F0DEF">
              <w:rPr>
                <w:rFonts w:ascii="Arial" w:hAnsi="Arial" w:cs="Arial"/>
                <w:b/>
                <w:bCs/>
                <w:color w:val="auto"/>
                <w:sz w:val="22"/>
                <w:szCs w:val="22"/>
              </w:rPr>
              <w:t xml:space="preserve">Targeted </w:t>
            </w:r>
            <w:r w:rsidR="00E27E88" w:rsidRPr="00502FB2">
              <w:rPr>
                <w:rFonts w:ascii="Arial" w:hAnsi="Arial" w:cs="Arial"/>
                <w:b/>
                <w:bCs/>
                <w:color w:val="auto"/>
                <w:sz w:val="22"/>
                <w:szCs w:val="22"/>
              </w:rPr>
              <w:t xml:space="preserve">Academic </w:t>
            </w:r>
            <w:r w:rsidRPr="004F0DEF">
              <w:rPr>
                <w:rFonts w:ascii="Arial" w:hAnsi="Arial" w:cs="Arial"/>
                <w:b/>
                <w:bCs/>
                <w:color w:val="auto"/>
                <w:sz w:val="22"/>
                <w:szCs w:val="22"/>
              </w:rPr>
              <w:t>Support</w:t>
            </w:r>
          </w:p>
        </w:tc>
      </w:tr>
      <w:tr w:rsidR="00D53A8B" w:rsidRPr="004F0DEF" w14:paraId="1A705FB0" w14:textId="77777777" w:rsidTr="612E359A">
        <w:tc>
          <w:tcPr>
            <w:tcW w:w="4679" w:type="dxa"/>
            <w:tcMar>
              <w:top w:w="57" w:type="dxa"/>
              <w:bottom w:w="57" w:type="dxa"/>
            </w:tcMar>
          </w:tcPr>
          <w:p w14:paraId="765CC095" w14:textId="77777777" w:rsidR="004F0DEF" w:rsidRPr="004F0DEF" w:rsidRDefault="004F0DEF" w:rsidP="004F0DEF">
            <w:pPr>
              <w:suppressAutoHyphens w:val="0"/>
              <w:spacing w:after="0" w:line="240" w:lineRule="auto"/>
              <w:rPr>
                <w:rFonts w:cs="Arial"/>
                <w:color w:val="auto"/>
                <w:sz w:val="22"/>
                <w:szCs w:val="22"/>
              </w:rPr>
            </w:pPr>
            <w:r w:rsidRPr="004F0DEF">
              <w:rPr>
                <w:rFonts w:cs="Arial"/>
                <w:b/>
                <w:bCs/>
                <w:color w:val="auto"/>
                <w:sz w:val="22"/>
                <w:szCs w:val="22"/>
              </w:rPr>
              <w:t>Outcomes and Impact</w:t>
            </w:r>
            <w:r w:rsidRPr="004F0DEF">
              <w:rPr>
                <w:rFonts w:cs="Arial"/>
                <w:color w:val="auto"/>
                <w:sz w:val="22"/>
                <w:szCs w:val="22"/>
              </w:rPr>
              <w:t xml:space="preserve"> Include impact on pupils not eligible for PP, if appropriate</w:t>
            </w:r>
          </w:p>
        </w:tc>
        <w:tc>
          <w:tcPr>
            <w:tcW w:w="4678" w:type="dxa"/>
            <w:tcMar>
              <w:top w:w="57" w:type="dxa"/>
              <w:bottom w:w="57" w:type="dxa"/>
            </w:tcMar>
          </w:tcPr>
          <w:p w14:paraId="5F550D23"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b/>
                <w:bCs/>
                <w:color w:val="auto"/>
                <w:sz w:val="22"/>
                <w:szCs w:val="22"/>
              </w:rPr>
              <w:t xml:space="preserve">Lessons learned </w:t>
            </w:r>
          </w:p>
          <w:p w14:paraId="5CE5DF0A"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color w:val="auto"/>
                <w:sz w:val="22"/>
                <w:szCs w:val="22"/>
              </w:rPr>
              <w:t>(and whether you will continue with this approach)</w:t>
            </w:r>
          </w:p>
        </w:tc>
        <w:tc>
          <w:tcPr>
            <w:tcW w:w="1134" w:type="dxa"/>
          </w:tcPr>
          <w:p w14:paraId="79AA6EFA"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b/>
                <w:bCs/>
                <w:color w:val="auto"/>
                <w:sz w:val="22"/>
                <w:szCs w:val="22"/>
              </w:rPr>
              <w:t>Cost</w:t>
            </w:r>
          </w:p>
        </w:tc>
      </w:tr>
      <w:tr w:rsidR="00D53A8B" w:rsidRPr="004F0DEF" w14:paraId="0D314B1F" w14:textId="77777777" w:rsidTr="00EB347F">
        <w:trPr>
          <w:trHeight w:hRule="exact" w:val="4822"/>
        </w:trPr>
        <w:tc>
          <w:tcPr>
            <w:tcW w:w="4679" w:type="dxa"/>
            <w:tcMar>
              <w:top w:w="57" w:type="dxa"/>
              <w:bottom w:w="57" w:type="dxa"/>
            </w:tcMar>
          </w:tcPr>
          <w:p w14:paraId="6413A7F2" w14:textId="456F2646" w:rsidR="004F0DEF" w:rsidRPr="0047734F" w:rsidRDefault="0047734F" w:rsidP="0047734F">
            <w:pPr>
              <w:rPr>
                <w:bCs/>
                <w:sz w:val="22"/>
                <w:szCs w:val="22"/>
              </w:rPr>
            </w:pPr>
            <w:r w:rsidRPr="0047734F">
              <w:rPr>
                <w:bCs/>
                <w:sz w:val="22"/>
                <w:szCs w:val="22"/>
              </w:rPr>
              <w:t xml:space="preserve">Whole school Thrive CPD provided by Brighter Futures. </w:t>
            </w:r>
            <w:r>
              <w:rPr>
                <w:bCs/>
                <w:sz w:val="22"/>
                <w:szCs w:val="22"/>
              </w:rPr>
              <w:t xml:space="preserve">Additional </w:t>
            </w:r>
            <w:r w:rsidRPr="0047734F">
              <w:rPr>
                <w:bCs/>
                <w:sz w:val="22"/>
                <w:szCs w:val="22"/>
              </w:rPr>
              <w:t>Thrive practioner</w:t>
            </w:r>
            <w:r>
              <w:rPr>
                <w:bCs/>
                <w:sz w:val="22"/>
                <w:szCs w:val="22"/>
              </w:rPr>
              <w:t xml:space="preserve"> trained.</w:t>
            </w:r>
            <w:r w:rsidRPr="0047734F">
              <w:rPr>
                <w:bCs/>
                <w:sz w:val="22"/>
                <w:szCs w:val="22"/>
              </w:rPr>
              <w:t xml:space="preserve"> Attendance at each Behaviour Panel with referrals</w:t>
            </w:r>
            <w:r>
              <w:rPr>
                <w:bCs/>
              </w:rPr>
              <w:t xml:space="preserve"> made for children identified as in need through diagnostic assessments (including Thrive assessments)</w:t>
            </w:r>
          </w:p>
        </w:tc>
        <w:tc>
          <w:tcPr>
            <w:tcW w:w="4678" w:type="dxa"/>
            <w:tcMar>
              <w:top w:w="57" w:type="dxa"/>
              <w:bottom w:w="57" w:type="dxa"/>
            </w:tcMar>
          </w:tcPr>
          <w:p w14:paraId="51829BA9" w14:textId="553EF3EF" w:rsidR="004F0DEF" w:rsidRPr="004F0DEF" w:rsidRDefault="0E17D8BC" w:rsidP="4448D161">
            <w:pPr>
              <w:suppressAutoHyphens w:val="0"/>
              <w:spacing w:after="0" w:line="240" w:lineRule="auto"/>
              <w:rPr>
                <w:rFonts w:asciiTheme="minorHAnsi" w:eastAsiaTheme="minorEastAsia" w:hAnsiTheme="minorHAnsi" w:cstheme="minorBidi"/>
                <w:color w:val="auto"/>
                <w:sz w:val="22"/>
                <w:szCs w:val="22"/>
              </w:rPr>
            </w:pPr>
            <w:r w:rsidRPr="798B46BD">
              <w:rPr>
                <w:rFonts w:asciiTheme="minorHAnsi" w:eastAsiaTheme="minorEastAsia" w:hAnsiTheme="minorHAnsi" w:cstheme="minorBidi"/>
                <w:color w:val="auto"/>
                <w:sz w:val="22"/>
                <w:szCs w:val="22"/>
              </w:rPr>
              <w:t>T</w:t>
            </w:r>
            <w:r w:rsidR="2D0D07B0" w:rsidRPr="798B46BD">
              <w:rPr>
                <w:rFonts w:asciiTheme="minorHAnsi" w:eastAsiaTheme="minorEastAsia" w:hAnsiTheme="minorHAnsi" w:cstheme="minorBidi"/>
                <w:color w:val="auto"/>
                <w:sz w:val="22"/>
                <w:szCs w:val="22"/>
              </w:rPr>
              <w:t xml:space="preserve">he response </w:t>
            </w:r>
            <w:r w:rsidR="2D0D07B0" w:rsidRPr="4ED4FD4F">
              <w:rPr>
                <w:rFonts w:asciiTheme="minorHAnsi" w:eastAsiaTheme="minorEastAsia" w:hAnsiTheme="minorHAnsi" w:cstheme="minorBidi"/>
                <w:color w:val="auto"/>
                <w:sz w:val="22"/>
                <w:szCs w:val="22"/>
              </w:rPr>
              <w:t xml:space="preserve">to Thrive has </w:t>
            </w:r>
            <w:r w:rsidR="2D0D07B0" w:rsidRPr="2B3DF059">
              <w:rPr>
                <w:rFonts w:asciiTheme="minorHAnsi" w:eastAsiaTheme="minorEastAsia" w:hAnsiTheme="minorHAnsi" w:cstheme="minorBidi"/>
                <w:color w:val="auto"/>
                <w:sz w:val="22"/>
                <w:szCs w:val="22"/>
              </w:rPr>
              <w:t xml:space="preserve">been </w:t>
            </w:r>
            <w:r w:rsidR="2D0D07B0" w:rsidRPr="612E359A">
              <w:rPr>
                <w:rFonts w:asciiTheme="minorHAnsi" w:eastAsiaTheme="minorEastAsia" w:hAnsiTheme="minorHAnsi" w:cstheme="minorBidi"/>
                <w:color w:val="auto"/>
                <w:sz w:val="22"/>
                <w:szCs w:val="22"/>
              </w:rPr>
              <w:t xml:space="preserve">positively received </w:t>
            </w:r>
            <w:r w:rsidRPr="612E359A">
              <w:rPr>
                <w:rFonts w:asciiTheme="minorHAnsi" w:eastAsiaTheme="minorEastAsia" w:hAnsiTheme="minorHAnsi" w:cstheme="minorBidi"/>
                <w:color w:val="auto"/>
                <w:sz w:val="22"/>
                <w:szCs w:val="22"/>
              </w:rPr>
              <w:t>here</w:t>
            </w:r>
            <w:r w:rsidRPr="14E62005">
              <w:rPr>
                <w:rFonts w:asciiTheme="minorHAnsi" w:eastAsiaTheme="minorEastAsia" w:hAnsiTheme="minorHAnsi" w:cstheme="minorBidi"/>
                <w:color w:val="auto"/>
                <w:sz w:val="22"/>
                <w:szCs w:val="22"/>
              </w:rPr>
              <w:t xml:space="preserve"> has been an increased number of children identified by parents/teachers as requiring Thrive support. </w:t>
            </w:r>
            <w:r w:rsidR="331FD4F2" w:rsidRPr="14E62005">
              <w:rPr>
                <w:rFonts w:asciiTheme="minorHAnsi" w:eastAsiaTheme="minorEastAsia" w:hAnsiTheme="minorHAnsi" w:cstheme="minorBidi"/>
                <w:color w:val="auto"/>
                <w:sz w:val="22"/>
                <w:szCs w:val="22"/>
              </w:rPr>
              <w:t>We will continue to provide</w:t>
            </w:r>
            <w:r w:rsidRPr="14E62005">
              <w:rPr>
                <w:rFonts w:asciiTheme="minorHAnsi" w:eastAsiaTheme="minorEastAsia" w:hAnsiTheme="minorHAnsi" w:cstheme="minorBidi"/>
                <w:color w:val="auto"/>
                <w:sz w:val="22"/>
                <w:szCs w:val="22"/>
              </w:rPr>
              <w:t xml:space="preserve"> staff CPD to embed whole class strategies</w:t>
            </w:r>
            <w:r w:rsidR="6E4B0AEF" w:rsidRPr="14E62005">
              <w:rPr>
                <w:rFonts w:asciiTheme="minorHAnsi" w:eastAsiaTheme="minorEastAsia" w:hAnsiTheme="minorHAnsi" w:cstheme="minorBidi"/>
                <w:color w:val="auto"/>
                <w:sz w:val="22"/>
                <w:szCs w:val="22"/>
              </w:rPr>
              <w:t xml:space="preserve"> and provide 1:1 support</w:t>
            </w:r>
            <w:r w:rsidRPr="14E62005">
              <w:rPr>
                <w:rFonts w:asciiTheme="minorHAnsi" w:eastAsiaTheme="minorEastAsia" w:hAnsiTheme="minorHAnsi" w:cstheme="minorBidi"/>
                <w:color w:val="auto"/>
                <w:sz w:val="22"/>
                <w:szCs w:val="22"/>
              </w:rPr>
              <w:t xml:space="preserve"> </w:t>
            </w:r>
            <w:r w:rsidR="6E4B0AEF" w:rsidRPr="14E62005">
              <w:rPr>
                <w:rFonts w:asciiTheme="minorHAnsi" w:eastAsiaTheme="minorEastAsia" w:hAnsiTheme="minorHAnsi" w:cstheme="minorBidi"/>
                <w:color w:val="auto"/>
                <w:sz w:val="22"/>
                <w:szCs w:val="22"/>
              </w:rPr>
              <w:t xml:space="preserve">using attendance as one form of identification. </w:t>
            </w:r>
          </w:p>
          <w:p w14:paraId="74DCB2E0" w14:textId="642B6C98" w:rsidR="004F0DEF" w:rsidRPr="004F0DEF" w:rsidRDefault="004F0DEF" w:rsidP="4448D161">
            <w:pPr>
              <w:suppressAutoHyphens w:val="0"/>
              <w:spacing w:after="0" w:line="240" w:lineRule="auto"/>
              <w:rPr>
                <w:rFonts w:asciiTheme="minorHAnsi" w:eastAsiaTheme="minorEastAsia" w:hAnsiTheme="minorHAnsi" w:cstheme="minorBidi"/>
                <w:color w:val="auto"/>
                <w:sz w:val="22"/>
                <w:szCs w:val="22"/>
              </w:rPr>
            </w:pPr>
          </w:p>
          <w:p w14:paraId="798DB263" w14:textId="625D38CE" w:rsidR="004F0DEF" w:rsidRPr="004F0DEF" w:rsidRDefault="6E4B0AEF" w:rsidP="56A99190">
            <w:pPr>
              <w:suppressAutoHyphens w:val="0"/>
              <w:spacing w:after="0" w:line="240" w:lineRule="auto"/>
              <w:rPr>
                <w:rFonts w:asciiTheme="minorHAnsi" w:eastAsiaTheme="minorEastAsia" w:hAnsiTheme="minorHAnsi" w:cstheme="minorBidi"/>
                <w:color w:val="auto"/>
                <w:sz w:val="22"/>
                <w:szCs w:val="22"/>
              </w:rPr>
            </w:pPr>
            <w:r w:rsidRPr="14E62005">
              <w:rPr>
                <w:rFonts w:asciiTheme="minorHAnsi" w:eastAsiaTheme="minorEastAsia" w:hAnsiTheme="minorHAnsi" w:cstheme="minorBidi"/>
                <w:color w:val="auto"/>
                <w:sz w:val="22"/>
                <w:szCs w:val="22"/>
              </w:rPr>
              <w:t xml:space="preserve">Parents/carers will be offered a workshop based on wellbeing training, Thrive and zones of regulation. </w:t>
            </w:r>
            <w:r w:rsidR="216BD496" w:rsidRPr="14E62005">
              <w:rPr>
                <w:rFonts w:asciiTheme="minorHAnsi" w:eastAsiaTheme="minorEastAsia" w:hAnsiTheme="minorHAnsi" w:cstheme="minorBidi"/>
                <w:color w:val="auto"/>
                <w:sz w:val="22"/>
                <w:szCs w:val="22"/>
              </w:rPr>
              <w:t>Shared language has had a positive impact for some pupils and this could be used more widely.</w:t>
            </w:r>
            <w:r w:rsidR="0E17D8BC" w:rsidRPr="14E62005">
              <w:rPr>
                <w:rFonts w:asciiTheme="minorHAnsi" w:eastAsiaTheme="minorEastAsia" w:hAnsiTheme="minorHAnsi" w:cstheme="minorBidi"/>
                <w:color w:val="auto"/>
                <w:sz w:val="22"/>
                <w:szCs w:val="22"/>
              </w:rPr>
              <w:t xml:space="preserve"> </w:t>
            </w:r>
          </w:p>
          <w:p w14:paraId="022DF340" w14:textId="7A006AEA" w:rsidR="004F0DEF" w:rsidRPr="004F0DEF" w:rsidRDefault="004F0DEF" w:rsidP="56A99190">
            <w:pPr>
              <w:suppressAutoHyphens w:val="0"/>
              <w:spacing w:after="0" w:line="240" w:lineRule="auto"/>
              <w:rPr>
                <w:rFonts w:asciiTheme="minorHAnsi" w:eastAsiaTheme="minorEastAsia" w:hAnsiTheme="minorHAnsi" w:cstheme="minorBidi"/>
                <w:color w:val="auto"/>
                <w:sz w:val="22"/>
                <w:szCs w:val="22"/>
              </w:rPr>
            </w:pPr>
          </w:p>
          <w:p w14:paraId="611ED3EA" w14:textId="6575AB34" w:rsidR="004F0DEF" w:rsidRPr="004F0DEF" w:rsidRDefault="216BD496" w:rsidP="004F0DEF">
            <w:pPr>
              <w:suppressAutoHyphens w:val="0"/>
              <w:spacing w:after="0" w:line="240" w:lineRule="auto"/>
              <w:rPr>
                <w:rFonts w:asciiTheme="minorHAnsi" w:eastAsiaTheme="minorEastAsia" w:hAnsiTheme="minorHAnsi" w:cstheme="minorBidi"/>
                <w:color w:val="auto"/>
                <w:sz w:val="22"/>
                <w:szCs w:val="22"/>
              </w:rPr>
            </w:pPr>
            <w:r w:rsidRPr="14E62005">
              <w:rPr>
                <w:rFonts w:asciiTheme="minorHAnsi" w:eastAsiaTheme="minorEastAsia" w:hAnsiTheme="minorHAnsi" w:cstheme="minorBidi"/>
                <w:color w:val="auto"/>
                <w:sz w:val="22"/>
                <w:szCs w:val="22"/>
              </w:rPr>
              <w:t>Staff will attend sessions</w:t>
            </w:r>
            <w:r w:rsidR="0E17D8BC" w:rsidRPr="14E62005">
              <w:rPr>
                <w:rFonts w:asciiTheme="minorHAnsi" w:eastAsiaTheme="minorEastAsia" w:hAnsiTheme="minorHAnsi" w:cstheme="minorBidi"/>
                <w:color w:val="auto"/>
                <w:sz w:val="22"/>
                <w:szCs w:val="22"/>
              </w:rPr>
              <w:t xml:space="preserve"> </w:t>
            </w:r>
            <w:r w:rsidRPr="14E62005">
              <w:rPr>
                <w:rFonts w:asciiTheme="minorHAnsi" w:eastAsiaTheme="minorEastAsia" w:hAnsiTheme="minorHAnsi" w:cstheme="minorBidi"/>
                <w:color w:val="auto"/>
                <w:sz w:val="22"/>
                <w:szCs w:val="22"/>
              </w:rPr>
              <w:t>delivered by external providers so that</w:t>
            </w:r>
            <w:r w:rsidR="0E17D8BC" w:rsidRPr="14E62005">
              <w:rPr>
                <w:rFonts w:asciiTheme="minorHAnsi" w:eastAsiaTheme="minorEastAsia" w:hAnsiTheme="minorHAnsi" w:cstheme="minorBidi"/>
                <w:color w:val="auto"/>
                <w:sz w:val="22"/>
                <w:szCs w:val="22"/>
              </w:rPr>
              <w:t xml:space="preserve"> </w:t>
            </w:r>
            <w:r w:rsidRPr="14E62005">
              <w:rPr>
                <w:rFonts w:asciiTheme="minorHAnsi" w:eastAsiaTheme="minorEastAsia" w:hAnsiTheme="minorHAnsi" w:cstheme="minorBidi"/>
                <w:color w:val="auto"/>
                <w:sz w:val="22"/>
                <w:szCs w:val="22"/>
              </w:rPr>
              <w:t>the support can be offered</w:t>
            </w:r>
            <w:r w:rsidR="0E17D8BC" w:rsidRPr="14E62005">
              <w:rPr>
                <w:rFonts w:asciiTheme="minorHAnsi" w:eastAsiaTheme="minorEastAsia" w:hAnsiTheme="minorHAnsi" w:cstheme="minorBidi"/>
                <w:color w:val="auto"/>
                <w:sz w:val="22"/>
                <w:szCs w:val="22"/>
              </w:rPr>
              <w:t xml:space="preserve"> </w:t>
            </w:r>
            <w:r w:rsidRPr="14E62005">
              <w:rPr>
                <w:rFonts w:asciiTheme="minorHAnsi" w:eastAsiaTheme="minorEastAsia" w:hAnsiTheme="minorHAnsi" w:cstheme="minorBidi"/>
                <w:color w:val="auto"/>
                <w:sz w:val="22"/>
                <w:szCs w:val="22"/>
              </w:rPr>
              <w:t>to additional children in a small group</w:t>
            </w:r>
            <w:r w:rsidR="0E17D8BC" w:rsidRPr="14E62005">
              <w:rPr>
                <w:rFonts w:asciiTheme="minorHAnsi" w:eastAsiaTheme="minorEastAsia" w:hAnsiTheme="minorHAnsi" w:cstheme="minorBidi"/>
                <w:color w:val="auto"/>
                <w:sz w:val="22"/>
                <w:szCs w:val="22"/>
              </w:rPr>
              <w:t xml:space="preserve"> </w:t>
            </w:r>
            <w:r w:rsidRPr="14E62005">
              <w:rPr>
                <w:rFonts w:asciiTheme="minorHAnsi" w:eastAsiaTheme="minorEastAsia" w:hAnsiTheme="minorHAnsi" w:cstheme="minorBidi"/>
                <w:color w:val="auto"/>
                <w:sz w:val="22"/>
                <w:szCs w:val="22"/>
              </w:rPr>
              <w:t xml:space="preserve">setting. </w:t>
            </w:r>
            <w:r w:rsidR="0E17D8BC" w:rsidRPr="14E62005">
              <w:rPr>
                <w:rFonts w:asciiTheme="minorHAnsi" w:eastAsiaTheme="minorEastAsia" w:hAnsiTheme="minorHAnsi" w:cstheme="minorBidi"/>
                <w:color w:val="auto"/>
                <w:sz w:val="22"/>
                <w:szCs w:val="22"/>
              </w:rPr>
              <w:t xml:space="preserve"> </w:t>
            </w:r>
          </w:p>
        </w:tc>
        <w:tc>
          <w:tcPr>
            <w:tcW w:w="1134" w:type="dxa"/>
          </w:tcPr>
          <w:p w14:paraId="76B4B283" w14:textId="104FBE9E" w:rsidR="004F0DEF" w:rsidRPr="004F0DEF" w:rsidRDefault="006747E5" w:rsidP="004F0DEF">
            <w:pPr>
              <w:suppressAutoHyphens w:val="0"/>
              <w:spacing w:after="0" w:line="240" w:lineRule="auto"/>
              <w:rPr>
                <w:rFonts w:ascii="Arial" w:hAnsi="Arial" w:cs="Arial"/>
                <w:color w:val="auto"/>
                <w:sz w:val="22"/>
                <w:szCs w:val="22"/>
              </w:rPr>
            </w:pPr>
            <w:r>
              <w:rPr>
                <w:rFonts w:ascii="Arial" w:hAnsi="Arial" w:cs="Arial"/>
                <w:color w:val="auto"/>
                <w:sz w:val="22"/>
                <w:szCs w:val="22"/>
              </w:rPr>
              <w:t>Nil from PP budget (£2600 from Catch-up fund used)</w:t>
            </w:r>
          </w:p>
        </w:tc>
      </w:tr>
      <w:tr w:rsidR="00D53A8B" w:rsidRPr="004F0DEF" w14:paraId="219CAA9D" w14:textId="77777777" w:rsidTr="612E359A">
        <w:trPr>
          <w:trHeight w:hRule="exact" w:val="3062"/>
        </w:trPr>
        <w:tc>
          <w:tcPr>
            <w:tcW w:w="4679" w:type="dxa"/>
            <w:tcMar>
              <w:top w:w="57" w:type="dxa"/>
              <w:bottom w:w="57" w:type="dxa"/>
            </w:tcMar>
          </w:tcPr>
          <w:p w14:paraId="4A3A8304" w14:textId="332FDA45" w:rsidR="003B6541" w:rsidRDefault="00710AF9" w:rsidP="003B6541">
            <w:pPr>
              <w:rPr>
                <w:bCs/>
              </w:rPr>
            </w:pPr>
            <w:r>
              <w:rPr>
                <w:bCs/>
              </w:rPr>
              <w:t xml:space="preserve">Diagnostic assessments used to identify need for high quality targeted support. </w:t>
            </w:r>
            <w:r w:rsidR="00D45598">
              <w:rPr>
                <w:bCs/>
              </w:rPr>
              <w:t>Interventions include</w:t>
            </w:r>
            <w:r w:rsidR="00A85A6B">
              <w:rPr>
                <w:bCs/>
              </w:rPr>
              <w:t>d</w:t>
            </w:r>
            <w:r w:rsidR="00D45598" w:rsidRPr="00DF787E">
              <w:rPr>
                <w:bCs/>
              </w:rPr>
              <w:t xml:space="preserve"> speech and language sessions</w:t>
            </w:r>
            <w:r w:rsidR="00D45598">
              <w:rPr>
                <w:bCs/>
              </w:rPr>
              <w:t xml:space="preserve"> (external and internal)</w:t>
            </w:r>
            <w:r w:rsidR="00D45598" w:rsidRPr="00DF787E">
              <w:rPr>
                <w:bCs/>
              </w:rPr>
              <w:t>, phonics interventions, reading intervention</w:t>
            </w:r>
            <w:r w:rsidR="00D45598">
              <w:rPr>
                <w:bCs/>
              </w:rPr>
              <w:t xml:space="preserve">, </w:t>
            </w:r>
            <w:r w:rsidR="00D45598" w:rsidRPr="00DF787E">
              <w:rPr>
                <w:bCs/>
              </w:rPr>
              <w:t>maths intervention and dyslexia support.  This will help children to build their confidence</w:t>
            </w:r>
            <w:r w:rsidR="00D45598">
              <w:rPr>
                <w:bCs/>
              </w:rPr>
              <w:t xml:space="preserve"> and accelerate their learning.  </w:t>
            </w:r>
          </w:p>
        </w:tc>
        <w:tc>
          <w:tcPr>
            <w:tcW w:w="4678" w:type="dxa"/>
            <w:tcMar>
              <w:top w:w="57" w:type="dxa"/>
              <w:bottom w:w="57" w:type="dxa"/>
            </w:tcMar>
          </w:tcPr>
          <w:p w14:paraId="4BC0FE13" w14:textId="4A068056" w:rsidR="003B6541" w:rsidRPr="004F0DEF" w:rsidRDefault="6DB1D294" w:rsidP="531E1BED">
            <w:pPr>
              <w:suppressAutoHyphens w:val="0"/>
              <w:spacing w:after="0" w:line="240" w:lineRule="auto"/>
              <w:rPr>
                <w:rFonts w:cs="Calibri"/>
                <w:color w:val="auto"/>
                <w:sz w:val="22"/>
                <w:szCs w:val="22"/>
              </w:rPr>
            </w:pPr>
            <w:r w:rsidRPr="12044C62">
              <w:rPr>
                <w:rFonts w:cs="Calibri"/>
                <w:color w:val="auto"/>
                <w:sz w:val="22"/>
                <w:szCs w:val="22"/>
              </w:rPr>
              <w:t>Diagnostic assessments have supported catch up planning and SEND support across KS1 and KS2. We will continue to use the GAP analysis capability to inform pupil target plans and closel</w:t>
            </w:r>
            <w:r w:rsidR="536026D5" w:rsidRPr="12044C62">
              <w:rPr>
                <w:rFonts w:cs="Calibri"/>
                <w:color w:val="auto"/>
                <w:sz w:val="22"/>
                <w:szCs w:val="22"/>
              </w:rPr>
              <w:t xml:space="preserve">y monitor SEND pupil progress. </w:t>
            </w:r>
          </w:p>
          <w:p w14:paraId="7F791110" w14:textId="1889AA19" w:rsidR="003B6541" w:rsidRPr="004F0DEF" w:rsidRDefault="003B6541" w:rsidP="531E1BED">
            <w:pPr>
              <w:suppressAutoHyphens w:val="0"/>
              <w:spacing w:after="0" w:line="240" w:lineRule="auto"/>
              <w:rPr>
                <w:rFonts w:cs="Calibri"/>
                <w:color w:val="0D0D0D" w:themeColor="text1" w:themeTint="F2"/>
              </w:rPr>
            </w:pPr>
          </w:p>
          <w:p w14:paraId="41C116BB" w14:textId="28DFC0B2" w:rsidR="003B6541" w:rsidRPr="004F0DEF" w:rsidRDefault="023B950E" w:rsidP="004F0DEF">
            <w:pPr>
              <w:suppressAutoHyphens w:val="0"/>
              <w:spacing w:after="0" w:line="240" w:lineRule="auto"/>
              <w:rPr>
                <w:rFonts w:cs="Calibri"/>
                <w:color w:val="0D0D0D" w:themeColor="text1" w:themeTint="F2"/>
              </w:rPr>
            </w:pPr>
            <w:r w:rsidRPr="19C247FC">
              <w:rPr>
                <w:rFonts w:cs="Calibri"/>
                <w:color w:val="auto"/>
                <w:sz w:val="22"/>
                <w:szCs w:val="22"/>
              </w:rPr>
              <w:t xml:space="preserve">These diagnostic assessments </w:t>
            </w:r>
            <w:r w:rsidRPr="5205E076">
              <w:rPr>
                <w:rFonts w:cs="Calibri"/>
                <w:color w:val="auto"/>
                <w:sz w:val="22"/>
                <w:szCs w:val="22"/>
              </w:rPr>
              <w:t xml:space="preserve">have ensured greater </w:t>
            </w:r>
            <w:r w:rsidRPr="404B674D">
              <w:rPr>
                <w:rFonts w:cs="Calibri"/>
                <w:color w:val="auto"/>
                <w:sz w:val="22"/>
                <w:szCs w:val="22"/>
              </w:rPr>
              <w:t xml:space="preserve">consistency and </w:t>
            </w:r>
            <w:r w:rsidRPr="31A5DCCA">
              <w:rPr>
                <w:rFonts w:cs="Calibri"/>
                <w:color w:val="auto"/>
                <w:sz w:val="22"/>
                <w:szCs w:val="22"/>
              </w:rPr>
              <w:t xml:space="preserve">allowed </w:t>
            </w:r>
            <w:r w:rsidRPr="68696693">
              <w:rPr>
                <w:rFonts w:cs="Calibri"/>
                <w:color w:val="auto"/>
                <w:sz w:val="22"/>
                <w:szCs w:val="22"/>
              </w:rPr>
              <w:t xml:space="preserve">leaders </w:t>
            </w:r>
            <w:r w:rsidR="407FAF12" w:rsidRPr="56135671">
              <w:rPr>
                <w:rFonts w:cs="Calibri"/>
                <w:color w:val="auto"/>
                <w:sz w:val="22"/>
                <w:szCs w:val="22"/>
              </w:rPr>
              <w:t xml:space="preserve">(senior </w:t>
            </w:r>
            <w:r w:rsidR="407FAF12" w:rsidRPr="4B7819C0">
              <w:rPr>
                <w:rFonts w:cs="Calibri"/>
                <w:color w:val="auto"/>
                <w:sz w:val="22"/>
                <w:szCs w:val="22"/>
              </w:rPr>
              <w:t xml:space="preserve">leaders and subject </w:t>
            </w:r>
            <w:r w:rsidR="407FAF12" w:rsidRPr="4EAF230A">
              <w:rPr>
                <w:rFonts w:cs="Calibri"/>
                <w:color w:val="auto"/>
                <w:sz w:val="22"/>
                <w:szCs w:val="22"/>
              </w:rPr>
              <w:t xml:space="preserve">leaders) </w:t>
            </w:r>
            <w:r w:rsidRPr="4EAF230A">
              <w:rPr>
                <w:rFonts w:cs="Calibri"/>
                <w:color w:val="auto"/>
                <w:sz w:val="22"/>
                <w:szCs w:val="22"/>
              </w:rPr>
              <w:t>to</w:t>
            </w:r>
            <w:r w:rsidRPr="68696693">
              <w:rPr>
                <w:rFonts w:cs="Calibri"/>
                <w:color w:val="auto"/>
                <w:sz w:val="22"/>
                <w:szCs w:val="22"/>
              </w:rPr>
              <w:t xml:space="preserve"> </w:t>
            </w:r>
            <w:r w:rsidRPr="75B1BEB0">
              <w:rPr>
                <w:rFonts w:cs="Calibri"/>
                <w:color w:val="auto"/>
                <w:sz w:val="22"/>
                <w:szCs w:val="22"/>
              </w:rPr>
              <w:t>identify</w:t>
            </w:r>
            <w:r w:rsidRPr="033F0DBD">
              <w:rPr>
                <w:rFonts w:cs="Calibri"/>
                <w:color w:val="auto"/>
                <w:sz w:val="22"/>
                <w:szCs w:val="22"/>
              </w:rPr>
              <w:t xml:space="preserve">, </w:t>
            </w:r>
            <w:r w:rsidR="08A9B1E7" w:rsidRPr="5FA800C6">
              <w:rPr>
                <w:rFonts w:cs="Calibri"/>
                <w:color w:val="auto"/>
                <w:sz w:val="22"/>
                <w:szCs w:val="22"/>
              </w:rPr>
              <w:t xml:space="preserve">plan and </w:t>
            </w:r>
            <w:r w:rsidR="08A9B1E7" w:rsidRPr="54397F8D">
              <w:rPr>
                <w:rFonts w:cs="Calibri"/>
                <w:color w:val="auto"/>
                <w:sz w:val="22"/>
                <w:szCs w:val="22"/>
              </w:rPr>
              <w:t xml:space="preserve">implement </w:t>
            </w:r>
            <w:r w:rsidR="08A9B1E7" w:rsidRPr="572B91E8">
              <w:rPr>
                <w:rFonts w:cs="Calibri"/>
                <w:color w:val="auto"/>
                <w:sz w:val="22"/>
                <w:szCs w:val="22"/>
              </w:rPr>
              <w:t xml:space="preserve">alongside class teachers. </w:t>
            </w:r>
          </w:p>
        </w:tc>
        <w:tc>
          <w:tcPr>
            <w:tcW w:w="1134" w:type="dxa"/>
          </w:tcPr>
          <w:p w14:paraId="2791DB74" w14:textId="62D6438A" w:rsidR="003B6541" w:rsidRPr="004F0DEF" w:rsidRDefault="00286A79" w:rsidP="004F0DEF">
            <w:pPr>
              <w:suppressAutoHyphens w:val="0"/>
              <w:spacing w:after="0" w:line="240" w:lineRule="auto"/>
              <w:rPr>
                <w:rFonts w:cs="Arial"/>
                <w:color w:val="auto"/>
                <w:sz w:val="22"/>
                <w:szCs w:val="22"/>
              </w:rPr>
            </w:pPr>
            <w:r>
              <w:rPr>
                <w:rFonts w:cs="Arial"/>
                <w:color w:val="auto"/>
                <w:sz w:val="22"/>
                <w:szCs w:val="22"/>
              </w:rPr>
              <w:t>£9895</w:t>
            </w:r>
          </w:p>
        </w:tc>
      </w:tr>
      <w:tr w:rsidR="00D53A8B" w:rsidRPr="004F0DEF" w14:paraId="7F816693" w14:textId="77777777" w:rsidTr="612E359A">
        <w:trPr>
          <w:trHeight w:hRule="exact" w:val="2618"/>
        </w:trPr>
        <w:tc>
          <w:tcPr>
            <w:tcW w:w="4679" w:type="dxa"/>
            <w:tcMar>
              <w:top w:w="57" w:type="dxa"/>
              <w:bottom w:w="57" w:type="dxa"/>
            </w:tcMar>
          </w:tcPr>
          <w:p w14:paraId="6671E123" w14:textId="72A9F10B" w:rsidR="006B3AFD" w:rsidRDefault="006B3AFD" w:rsidP="003B6541">
            <w:pPr>
              <w:rPr>
                <w:bCs/>
              </w:rPr>
            </w:pPr>
            <w:r w:rsidRPr="008C315E">
              <w:rPr>
                <w:bCs/>
              </w:rPr>
              <w:t>Weekly sessions in targeted areas for PP pupils with an experienced teacher (who has also taken on the role of PP Champion), in addition to standard lessons</w:t>
            </w:r>
            <w:r w:rsidR="000F04BA">
              <w:rPr>
                <w:bCs/>
              </w:rPr>
              <w:t xml:space="preserve"> supported children. During remote learning these sessions were conducted remotely. </w:t>
            </w:r>
          </w:p>
        </w:tc>
        <w:tc>
          <w:tcPr>
            <w:tcW w:w="4678" w:type="dxa"/>
            <w:tcMar>
              <w:top w:w="57" w:type="dxa"/>
              <w:bottom w:w="57" w:type="dxa"/>
            </w:tcMar>
          </w:tcPr>
          <w:p w14:paraId="05453018" w14:textId="77777777" w:rsidR="006B3AFD" w:rsidRDefault="00711D90" w:rsidP="004F0DEF">
            <w:pPr>
              <w:suppressAutoHyphens w:val="0"/>
              <w:spacing w:after="0" w:line="240" w:lineRule="auto"/>
              <w:rPr>
                <w:rFonts w:cs="Arial"/>
                <w:color w:val="auto"/>
                <w:sz w:val="22"/>
                <w:szCs w:val="22"/>
              </w:rPr>
            </w:pPr>
            <w:r>
              <w:rPr>
                <w:rFonts w:cs="Arial"/>
                <w:color w:val="auto"/>
                <w:sz w:val="22"/>
                <w:szCs w:val="22"/>
              </w:rPr>
              <w:t xml:space="preserve">Going forward we will continue to use </w:t>
            </w:r>
            <w:r w:rsidR="00F6405B">
              <w:rPr>
                <w:rFonts w:cs="Arial"/>
                <w:color w:val="auto"/>
                <w:sz w:val="22"/>
                <w:szCs w:val="22"/>
              </w:rPr>
              <w:t xml:space="preserve">a </w:t>
            </w:r>
            <w:r w:rsidR="004C6FE4">
              <w:rPr>
                <w:rFonts w:cs="Arial"/>
                <w:color w:val="auto"/>
                <w:sz w:val="22"/>
                <w:szCs w:val="22"/>
              </w:rPr>
              <w:t>tutor-based</w:t>
            </w:r>
            <w:r w:rsidR="006E625A">
              <w:rPr>
                <w:rFonts w:cs="Arial"/>
                <w:color w:val="auto"/>
                <w:sz w:val="22"/>
                <w:szCs w:val="22"/>
              </w:rPr>
              <w:t xml:space="preserve"> approach but as one of a range of strategies to support</w:t>
            </w:r>
            <w:r w:rsidR="00F6405B">
              <w:rPr>
                <w:rFonts w:cs="Arial"/>
                <w:color w:val="auto"/>
                <w:sz w:val="22"/>
                <w:szCs w:val="22"/>
              </w:rPr>
              <w:t xml:space="preserve"> learning. </w:t>
            </w:r>
            <w:r w:rsidR="009D0461">
              <w:rPr>
                <w:rFonts w:cs="Arial"/>
                <w:color w:val="auto"/>
                <w:sz w:val="22"/>
                <w:szCs w:val="22"/>
              </w:rPr>
              <w:t xml:space="preserve">This tutor </w:t>
            </w:r>
            <w:r w:rsidR="004C6FE4">
              <w:rPr>
                <w:rFonts w:cs="Arial"/>
                <w:color w:val="auto"/>
                <w:sz w:val="22"/>
                <w:szCs w:val="22"/>
              </w:rPr>
              <w:t xml:space="preserve">based approach </w:t>
            </w:r>
            <w:r w:rsidR="00F6405B">
              <w:rPr>
                <w:rFonts w:cs="Arial"/>
                <w:color w:val="auto"/>
                <w:sz w:val="22"/>
                <w:szCs w:val="22"/>
              </w:rPr>
              <w:t>will continue to be 1:1</w:t>
            </w:r>
            <w:r w:rsidR="004C6FE4">
              <w:rPr>
                <w:rFonts w:cs="Arial"/>
                <w:color w:val="auto"/>
                <w:sz w:val="22"/>
                <w:szCs w:val="22"/>
              </w:rPr>
              <w:t xml:space="preserve"> in some cases</w:t>
            </w:r>
            <w:r w:rsidR="00F6405B">
              <w:rPr>
                <w:rFonts w:cs="Arial"/>
                <w:color w:val="auto"/>
                <w:sz w:val="22"/>
                <w:szCs w:val="22"/>
              </w:rPr>
              <w:t xml:space="preserve">, but in other cases it will be paired or small group tutorials in order to </w:t>
            </w:r>
            <w:r w:rsidR="00D12B78">
              <w:rPr>
                <w:rFonts w:cs="Arial"/>
                <w:color w:val="auto"/>
                <w:sz w:val="22"/>
                <w:szCs w:val="22"/>
              </w:rPr>
              <w:t xml:space="preserve">increase value for money. </w:t>
            </w:r>
          </w:p>
          <w:p w14:paraId="39D6E7E9" w14:textId="0B5D058C" w:rsidR="004C6FE4" w:rsidRPr="004F0DEF" w:rsidRDefault="004C6FE4" w:rsidP="004F0DEF">
            <w:pPr>
              <w:suppressAutoHyphens w:val="0"/>
              <w:spacing w:after="0" w:line="240" w:lineRule="auto"/>
              <w:rPr>
                <w:rFonts w:cs="Arial"/>
                <w:color w:val="auto"/>
                <w:sz w:val="22"/>
                <w:szCs w:val="22"/>
              </w:rPr>
            </w:pPr>
            <w:r>
              <w:rPr>
                <w:rFonts w:cs="Arial"/>
                <w:color w:val="auto"/>
                <w:sz w:val="22"/>
                <w:szCs w:val="22"/>
              </w:rPr>
              <w:t>In conjunction with this approach we will also be focusing on</w:t>
            </w:r>
            <w:r w:rsidR="00082769">
              <w:rPr>
                <w:rFonts w:cs="Arial"/>
                <w:color w:val="auto"/>
                <w:sz w:val="22"/>
                <w:szCs w:val="22"/>
              </w:rPr>
              <w:t xml:space="preserve"> quality first teaching, </w:t>
            </w:r>
          </w:p>
        </w:tc>
        <w:tc>
          <w:tcPr>
            <w:tcW w:w="1134" w:type="dxa"/>
          </w:tcPr>
          <w:p w14:paraId="048BBA94" w14:textId="576EB186" w:rsidR="006B3AFD" w:rsidRDefault="000F04BA" w:rsidP="004F0DEF">
            <w:pPr>
              <w:suppressAutoHyphens w:val="0"/>
              <w:spacing w:after="0" w:line="240" w:lineRule="auto"/>
              <w:rPr>
                <w:rFonts w:cs="Arial"/>
                <w:color w:val="auto"/>
                <w:sz w:val="22"/>
                <w:szCs w:val="22"/>
              </w:rPr>
            </w:pPr>
            <w:r>
              <w:rPr>
                <w:rFonts w:cs="Arial"/>
                <w:color w:val="auto"/>
                <w:sz w:val="22"/>
                <w:szCs w:val="22"/>
              </w:rPr>
              <w:t>£7900</w:t>
            </w:r>
          </w:p>
        </w:tc>
      </w:tr>
      <w:tr w:rsidR="00EB347F" w:rsidRPr="004F0DEF" w14:paraId="397EF4FD" w14:textId="77777777" w:rsidTr="612E359A">
        <w:trPr>
          <w:trHeight w:hRule="exact" w:val="312"/>
        </w:trPr>
        <w:tc>
          <w:tcPr>
            <w:tcW w:w="10491" w:type="dxa"/>
            <w:gridSpan w:val="3"/>
            <w:shd w:val="clear" w:color="auto" w:fill="D1CFFD"/>
            <w:tcMar>
              <w:top w:w="57" w:type="dxa"/>
              <w:bottom w:w="57" w:type="dxa"/>
            </w:tcMar>
          </w:tcPr>
          <w:p w14:paraId="371B9DBC" w14:textId="4D8844A2" w:rsidR="004F0DEF" w:rsidRPr="004F0DEF" w:rsidRDefault="004F0DEF" w:rsidP="004F0DEF">
            <w:pPr>
              <w:numPr>
                <w:ilvl w:val="0"/>
                <w:numId w:val="17"/>
              </w:numPr>
              <w:suppressAutoHyphens w:val="0"/>
              <w:spacing w:after="0" w:line="240" w:lineRule="auto"/>
              <w:rPr>
                <w:rFonts w:ascii="Arial" w:hAnsi="Arial" w:cs="Arial"/>
                <w:b/>
                <w:bCs/>
                <w:color w:val="auto"/>
                <w:sz w:val="22"/>
                <w:szCs w:val="22"/>
              </w:rPr>
            </w:pPr>
            <w:r w:rsidRPr="00502FB2">
              <w:rPr>
                <w:rFonts w:ascii="Arial" w:hAnsi="Arial" w:cs="Arial"/>
                <w:b/>
                <w:bCs/>
                <w:color w:val="auto"/>
                <w:sz w:val="22"/>
                <w:szCs w:val="22"/>
              </w:rPr>
              <w:t>Wider Strategies</w:t>
            </w:r>
          </w:p>
        </w:tc>
      </w:tr>
      <w:tr w:rsidR="00D53A8B" w:rsidRPr="004F0DEF" w14:paraId="607E55EE" w14:textId="77777777" w:rsidTr="612E359A">
        <w:tc>
          <w:tcPr>
            <w:tcW w:w="4679" w:type="dxa"/>
            <w:tcMar>
              <w:top w:w="57" w:type="dxa"/>
              <w:bottom w:w="57" w:type="dxa"/>
            </w:tcMar>
          </w:tcPr>
          <w:p w14:paraId="56895085" w14:textId="77777777" w:rsidR="004F0DEF" w:rsidRPr="004F0DEF" w:rsidRDefault="004F0DEF" w:rsidP="004F0DEF">
            <w:pPr>
              <w:suppressAutoHyphens w:val="0"/>
              <w:spacing w:after="0" w:line="240" w:lineRule="auto"/>
              <w:rPr>
                <w:rFonts w:cs="Arial"/>
                <w:color w:val="auto"/>
                <w:sz w:val="22"/>
                <w:szCs w:val="22"/>
              </w:rPr>
            </w:pPr>
            <w:r w:rsidRPr="004F0DEF">
              <w:rPr>
                <w:rFonts w:cs="Arial"/>
                <w:b/>
                <w:bCs/>
                <w:color w:val="auto"/>
                <w:sz w:val="22"/>
                <w:szCs w:val="22"/>
              </w:rPr>
              <w:t>Outcomes and Impact</w:t>
            </w:r>
            <w:r w:rsidRPr="004F0DEF">
              <w:rPr>
                <w:rFonts w:cs="Arial"/>
                <w:color w:val="auto"/>
                <w:sz w:val="22"/>
                <w:szCs w:val="22"/>
              </w:rPr>
              <w:t xml:space="preserve"> Include impact on pupils not eligible for PP, if appropriate</w:t>
            </w:r>
          </w:p>
        </w:tc>
        <w:tc>
          <w:tcPr>
            <w:tcW w:w="4678" w:type="dxa"/>
            <w:tcMar>
              <w:top w:w="57" w:type="dxa"/>
              <w:bottom w:w="57" w:type="dxa"/>
            </w:tcMar>
          </w:tcPr>
          <w:p w14:paraId="6CE2EA83"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b/>
                <w:bCs/>
                <w:color w:val="auto"/>
                <w:sz w:val="22"/>
                <w:szCs w:val="22"/>
              </w:rPr>
              <w:t xml:space="preserve">Lessons learned </w:t>
            </w:r>
          </w:p>
          <w:p w14:paraId="584B8884"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color w:val="auto"/>
                <w:sz w:val="22"/>
                <w:szCs w:val="22"/>
              </w:rPr>
              <w:t>(and whether you will continue with this approach)</w:t>
            </w:r>
          </w:p>
        </w:tc>
        <w:tc>
          <w:tcPr>
            <w:tcW w:w="1134" w:type="dxa"/>
          </w:tcPr>
          <w:p w14:paraId="64C12391" w14:textId="77777777" w:rsidR="004F0DEF" w:rsidRPr="004F0DEF" w:rsidRDefault="004F0DEF" w:rsidP="004F0DEF">
            <w:pPr>
              <w:suppressAutoHyphens w:val="0"/>
              <w:spacing w:after="0" w:line="240" w:lineRule="auto"/>
              <w:rPr>
                <w:rFonts w:ascii="Arial" w:hAnsi="Arial" w:cs="Arial"/>
                <w:b/>
                <w:bCs/>
                <w:color w:val="auto"/>
                <w:sz w:val="22"/>
                <w:szCs w:val="22"/>
              </w:rPr>
            </w:pPr>
            <w:r w:rsidRPr="004F0DEF">
              <w:rPr>
                <w:rFonts w:ascii="Arial" w:hAnsi="Arial" w:cs="Arial"/>
                <w:b/>
                <w:bCs/>
                <w:color w:val="auto"/>
                <w:sz w:val="22"/>
                <w:szCs w:val="22"/>
              </w:rPr>
              <w:t>Cost</w:t>
            </w:r>
          </w:p>
        </w:tc>
      </w:tr>
      <w:tr w:rsidR="00D53A8B" w:rsidRPr="004F0DEF" w14:paraId="63A701C1" w14:textId="77777777" w:rsidTr="612E359A">
        <w:trPr>
          <w:trHeight w:hRule="exact" w:val="1077"/>
        </w:trPr>
        <w:tc>
          <w:tcPr>
            <w:tcW w:w="4679" w:type="dxa"/>
            <w:tcMar>
              <w:top w:w="57" w:type="dxa"/>
              <w:bottom w:w="57" w:type="dxa"/>
            </w:tcMar>
          </w:tcPr>
          <w:p w14:paraId="69B366A5" w14:textId="4F41CED5" w:rsidR="004F0DEF" w:rsidRPr="004F0DEF" w:rsidRDefault="00280D84" w:rsidP="004F0DEF">
            <w:pPr>
              <w:suppressAutoHyphens w:val="0"/>
              <w:autoSpaceDE w:val="0"/>
              <w:adjustRightInd w:val="0"/>
              <w:spacing w:after="0" w:line="240" w:lineRule="auto"/>
              <w:rPr>
                <w:rFonts w:cs="Arial"/>
                <w:color w:val="auto"/>
                <w:sz w:val="18"/>
                <w:szCs w:val="18"/>
              </w:rPr>
            </w:pPr>
            <w:r>
              <w:rPr>
                <w:bCs/>
              </w:rPr>
              <w:t xml:space="preserve">Participation in PP network. CPD on trauma informed approached informed practice </w:t>
            </w:r>
            <w:r w:rsidR="00D20A29">
              <w:rPr>
                <w:bCs/>
              </w:rPr>
              <w:t xml:space="preserve">and </w:t>
            </w:r>
            <w:r w:rsidR="0079104A">
              <w:rPr>
                <w:bCs/>
              </w:rPr>
              <w:t xml:space="preserve">was fed into new behaviour policy. </w:t>
            </w:r>
          </w:p>
        </w:tc>
        <w:tc>
          <w:tcPr>
            <w:tcW w:w="4678" w:type="dxa"/>
            <w:tcMar>
              <w:top w:w="57" w:type="dxa"/>
              <w:bottom w:w="57" w:type="dxa"/>
            </w:tcMar>
          </w:tcPr>
          <w:p w14:paraId="2275CA52" w14:textId="03F80F63" w:rsidR="004F0DEF" w:rsidRPr="004F0DEF" w:rsidRDefault="006E625A" w:rsidP="004F0DEF">
            <w:pPr>
              <w:suppressAutoHyphens w:val="0"/>
              <w:spacing w:after="0" w:line="240" w:lineRule="auto"/>
              <w:rPr>
                <w:rFonts w:cs="Arial"/>
                <w:color w:val="auto"/>
                <w:sz w:val="18"/>
                <w:szCs w:val="18"/>
              </w:rPr>
            </w:pPr>
            <w:r w:rsidRPr="006E625A">
              <w:rPr>
                <w:bCs/>
              </w:rPr>
              <w:t>We will continue with this approach next year</w:t>
            </w:r>
          </w:p>
        </w:tc>
        <w:tc>
          <w:tcPr>
            <w:tcW w:w="1134" w:type="dxa"/>
          </w:tcPr>
          <w:p w14:paraId="1BDF615E" w14:textId="392CFB41" w:rsidR="004F0DEF" w:rsidRPr="004F0DEF" w:rsidRDefault="006E625A" w:rsidP="004F0DEF">
            <w:pPr>
              <w:suppressAutoHyphens w:val="0"/>
              <w:spacing w:after="0" w:line="240" w:lineRule="auto"/>
              <w:rPr>
                <w:rFonts w:cs="Arial"/>
                <w:color w:val="auto"/>
                <w:sz w:val="18"/>
                <w:szCs w:val="18"/>
              </w:rPr>
            </w:pPr>
            <w:r>
              <w:rPr>
                <w:rFonts w:cs="Arial"/>
                <w:color w:val="auto"/>
                <w:sz w:val="18"/>
                <w:szCs w:val="18"/>
              </w:rPr>
              <w:t>Nil</w:t>
            </w:r>
          </w:p>
        </w:tc>
      </w:tr>
      <w:tr w:rsidR="00D53A8B" w:rsidRPr="004F0DEF" w14:paraId="14B69383" w14:textId="77777777" w:rsidTr="612E359A">
        <w:trPr>
          <w:trHeight w:hRule="exact" w:val="2638"/>
        </w:trPr>
        <w:tc>
          <w:tcPr>
            <w:tcW w:w="4679" w:type="dxa"/>
            <w:tcMar>
              <w:top w:w="57" w:type="dxa"/>
              <w:bottom w:w="57" w:type="dxa"/>
            </w:tcMar>
          </w:tcPr>
          <w:p w14:paraId="53B27D0E" w14:textId="7DACC250" w:rsidR="003C2BEA" w:rsidRPr="004104BC" w:rsidRDefault="0079104A" w:rsidP="004F0DEF">
            <w:pPr>
              <w:suppressAutoHyphens w:val="0"/>
              <w:autoSpaceDE w:val="0"/>
              <w:adjustRightInd w:val="0"/>
              <w:spacing w:after="0" w:line="240" w:lineRule="auto"/>
              <w:rPr>
                <w:bCs/>
              </w:rPr>
            </w:pPr>
            <w:r>
              <w:t xml:space="preserve">Children supported financially in order to allow participation in adventure learning.  This boosted self-confidence.  </w:t>
            </w:r>
          </w:p>
        </w:tc>
        <w:tc>
          <w:tcPr>
            <w:tcW w:w="4678" w:type="dxa"/>
            <w:tcMar>
              <w:top w:w="57" w:type="dxa"/>
              <w:bottom w:w="57" w:type="dxa"/>
            </w:tcMar>
          </w:tcPr>
          <w:p w14:paraId="01746525" w14:textId="10F09F8E" w:rsidR="003C2BEA" w:rsidRPr="004F0DEF" w:rsidRDefault="006E625A" w:rsidP="004F0DEF">
            <w:pPr>
              <w:suppressAutoHyphens w:val="0"/>
              <w:spacing w:after="0" w:line="240" w:lineRule="auto"/>
              <w:rPr>
                <w:rFonts w:cs="Arial"/>
                <w:color w:val="auto"/>
                <w:sz w:val="18"/>
                <w:szCs w:val="18"/>
              </w:rPr>
            </w:pPr>
            <w:r w:rsidRPr="006E625A">
              <w:t>We will continue with this approach next year.</w:t>
            </w:r>
            <w:r>
              <w:rPr>
                <w:rFonts w:cs="Arial"/>
                <w:color w:val="auto"/>
                <w:sz w:val="18"/>
                <w:szCs w:val="18"/>
              </w:rPr>
              <w:t xml:space="preserve"> </w:t>
            </w:r>
          </w:p>
        </w:tc>
        <w:tc>
          <w:tcPr>
            <w:tcW w:w="1134" w:type="dxa"/>
          </w:tcPr>
          <w:p w14:paraId="6958F4DC" w14:textId="62230F4F" w:rsidR="003C2BEA" w:rsidRDefault="0079104A" w:rsidP="004F0DEF">
            <w:pPr>
              <w:suppressAutoHyphens w:val="0"/>
              <w:spacing w:after="0" w:line="240" w:lineRule="auto"/>
              <w:rPr>
                <w:rFonts w:cs="Arial"/>
                <w:color w:val="auto"/>
                <w:sz w:val="18"/>
                <w:szCs w:val="18"/>
              </w:rPr>
            </w:pPr>
            <w:r>
              <w:rPr>
                <w:rFonts w:cs="Arial"/>
                <w:color w:val="auto"/>
                <w:sz w:val="18"/>
                <w:szCs w:val="18"/>
              </w:rPr>
              <w:t>£1000</w:t>
            </w:r>
          </w:p>
        </w:tc>
      </w:tr>
    </w:tbl>
    <w:p w14:paraId="4F4F31A8" w14:textId="77777777" w:rsidR="004F0DEF" w:rsidRPr="004F0DEF" w:rsidRDefault="004F0DEF" w:rsidP="004F0DEF"/>
    <w:p w14:paraId="6A7CA967" w14:textId="398527A2" w:rsidR="003D78A6" w:rsidRPr="003D78A6" w:rsidRDefault="003D78A6" w:rsidP="003D78A6">
      <w:pPr>
        <w:pStyle w:val="Heading2"/>
        <w:spacing w:before="600"/>
        <w:rPr>
          <w:color w:val="7030A0"/>
        </w:rPr>
      </w:pPr>
      <w:r w:rsidRPr="003D78A6">
        <w:rPr>
          <w:color w:val="7030A0"/>
        </w:rPr>
        <w:t>Externally provided programmes</w:t>
      </w:r>
    </w:p>
    <w:p w14:paraId="4B7BB78C" w14:textId="77777777" w:rsidR="003D78A6" w:rsidRDefault="003D78A6" w:rsidP="003D78A6">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3D78A6" w14:paraId="41180C08" w14:textId="77777777" w:rsidTr="003D78A6">
        <w:tc>
          <w:tcPr>
            <w:tcW w:w="4815"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643D5B9C" w14:textId="77777777" w:rsidR="003D78A6" w:rsidRDefault="003D78A6" w:rsidP="0057593C">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20F06323" w14:textId="77777777" w:rsidR="003D78A6" w:rsidRDefault="003D78A6" w:rsidP="0057593C">
            <w:pPr>
              <w:pStyle w:val="TableHeader"/>
              <w:jc w:val="left"/>
            </w:pPr>
            <w:r>
              <w:t>Provider</w:t>
            </w:r>
          </w:p>
        </w:tc>
      </w:tr>
      <w:tr w:rsidR="003D78A6" w14:paraId="46D3BFD8" w14:textId="77777777" w:rsidTr="0057593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7256" w14:textId="49135697" w:rsidR="003D78A6" w:rsidRDefault="008C7B1B" w:rsidP="0057593C">
            <w:pPr>
              <w:pStyle w:val="TableRow"/>
            </w:pPr>
            <w:r>
              <w:t xml:space="preserve">Thrive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92881" w14:textId="71A8C73E" w:rsidR="003D78A6" w:rsidRDefault="00AD7176" w:rsidP="0057593C">
            <w:pPr>
              <w:pStyle w:val="TableRowCentered"/>
              <w:jc w:val="left"/>
            </w:pPr>
            <w:r>
              <w:t>Thrive</w:t>
            </w:r>
          </w:p>
        </w:tc>
      </w:tr>
      <w:tr w:rsidR="003D78A6" w14:paraId="37C6A5DB" w14:textId="77777777" w:rsidTr="0057593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39949" w14:textId="107A5E49" w:rsidR="003D78A6" w:rsidRDefault="00AD7176" w:rsidP="0057593C">
            <w:pPr>
              <w:pStyle w:val="TableRow"/>
            </w:pPr>
            <w:r>
              <w:t>Opal play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C5ADD" w14:textId="2A0AA703" w:rsidR="003D78A6" w:rsidRDefault="00AD7176" w:rsidP="0057593C">
            <w:pPr>
              <w:pStyle w:val="TableRowCentered"/>
              <w:jc w:val="left"/>
            </w:pPr>
            <w:r>
              <w:t xml:space="preserve">Opal </w:t>
            </w:r>
          </w:p>
        </w:tc>
      </w:tr>
    </w:tbl>
    <w:p w14:paraId="0C50EA3E" w14:textId="659A0AA9" w:rsidR="00092C63" w:rsidRDefault="00092C63"/>
    <w:sectPr w:rsidR="00092C63" w:rsidSect="004F0DEF">
      <w:footerReference w:type="default" r:id="rId16"/>
      <w:pgSz w:w="11906" w:h="16838"/>
      <w:pgMar w:top="1134" w:right="1276"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AD85" w14:textId="77777777" w:rsidR="00795625" w:rsidRDefault="00795625">
      <w:pPr>
        <w:spacing w:after="0" w:line="240" w:lineRule="auto"/>
      </w:pPr>
      <w:r>
        <w:separator/>
      </w:r>
    </w:p>
  </w:endnote>
  <w:endnote w:type="continuationSeparator" w:id="0">
    <w:p w14:paraId="4CC707C5" w14:textId="77777777" w:rsidR="00795625" w:rsidRDefault="00795625">
      <w:pPr>
        <w:spacing w:after="0" w:line="240" w:lineRule="auto"/>
      </w:pPr>
      <w:r>
        <w:continuationSeparator/>
      </w:r>
    </w:p>
  </w:endnote>
  <w:endnote w:type="continuationNotice" w:id="1">
    <w:p w14:paraId="37C7C9E6" w14:textId="77777777" w:rsidR="00795625" w:rsidRDefault="00795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9AB" w14:textId="77777777" w:rsidR="0057593C" w:rsidRDefault="0032083A" w:rsidP="5AA66F07">
    <w:pPr>
      <w:rPr>
        <w:color w:val="auto"/>
        <w:sz w:val="20"/>
        <w:szCs w:val="20"/>
      </w:rP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ADB8" w14:textId="77777777" w:rsidR="00795625" w:rsidRDefault="00795625">
      <w:pPr>
        <w:spacing w:after="0" w:line="240" w:lineRule="auto"/>
      </w:pPr>
      <w:r>
        <w:separator/>
      </w:r>
    </w:p>
  </w:footnote>
  <w:footnote w:type="continuationSeparator" w:id="0">
    <w:p w14:paraId="7462215C" w14:textId="77777777" w:rsidR="00795625" w:rsidRDefault="00795625">
      <w:pPr>
        <w:spacing w:after="0" w:line="240" w:lineRule="auto"/>
      </w:pPr>
      <w:r>
        <w:continuationSeparator/>
      </w:r>
    </w:p>
  </w:footnote>
  <w:footnote w:type="continuationNotice" w:id="1">
    <w:p w14:paraId="5F1365F9" w14:textId="77777777" w:rsidR="00795625" w:rsidRDefault="007956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D7933"/>
    <w:multiLevelType w:val="multilevel"/>
    <w:tmpl w:val="CB28723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CE4B1F"/>
    <w:multiLevelType w:val="hybridMultilevel"/>
    <w:tmpl w:val="EA4E7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40B1B"/>
    <w:multiLevelType w:val="hybridMultilevel"/>
    <w:tmpl w:val="924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C6E16"/>
    <w:multiLevelType w:val="hybridMultilevel"/>
    <w:tmpl w:val="45AE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26F6"/>
    <w:multiLevelType w:val="multilevel"/>
    <w:tmpl w:val="CBD4FA7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4E028A3"/>
    <w:multiLevelType w:val="multilevel"/>
    <w:tmpl w:val="524EF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8A39F0"/>
    <w:multiLevelType w:val="multilevel"/>
    <w:tmpl w:val="F52C2FB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DD67B8"/>
    <w:multiLevelType w:val="multilevel"/>
    <w:tmpl w:val="AF7CD48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3A3C46F7"/>
    <w:multiLevelType w:val="hybridMultilevel"/>
    <w:tmpl w:val="66CC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F6F26"/>
    <w:multiLevelType w:val="hybridMultilevel"/>
    <w:tmpl w:val="BC76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33B81"/>
    <w:multiLevelType w:val="multilevel"/>
    <w:tmpl w:val="17BE251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BC343B5"/>
    <w:multiLevelType w:val="multilevel"/>
    <w:tmpl w:val="90BE6A1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D864A38"/>
    <w:multiLevelType w:val="hybridMultilevel"/>
    <w:tmpl w:val="1168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55BC5"/>
    <w:multiLevelType w:val="hybridMultilevel"/>
    <w:tmpl w:val="A27E5DF6"/>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252A3"/>
    <w:multiLevelType w:val="hybridMultilevel"/>
    <w:tmpl w:val="FE2C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278FF"/>
    <w:multiLevelType w:val="hybridMultilevel"/>
    <w:tmpl w:val="A9746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51774CA"/>
    <w:multiLevelType w:val="multilevel"/>
    <w:tmpl w:val="623CEE2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F3F096E"/>
    <w:multiLevelType w:val="multilevel"/>
    <w:tmpl w:val="CF8CE6E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A491D34"/>
    <w:multiLevelType w:val="multilevel"/>
    <w:tmpl w:val="25720C4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C517364"/>
    <w:multiLevelType w:val="multilevel"/>
    <w:tmpl w:val="2942234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3" w15:restartNumberingAfterBreak="0">
    <w:nsid w:val="7D6C7BDD"/>
    <w:multiLevelType w:val="hybridMultilevel"/>
    <w:tmpl w:val="464C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2"/>
  </w:num>
  <w:num w:numId="4">
    <w:abstractNumId w:val="11"/>
  </w:num>
  <w:num w:numId="5">
    <w:abstractNumId w:val="7"/>
  </w:num>
  <w:num w:numId="6">
    <w:abstractNumId w:val="19"/>
  </w:num>
  <w:num w:numId="7">
    <w:abstractNumId w:val="5"/>
  </w:num>
  <w:num w:numId="8">
    <w:abstractNumId w:val="12"/>
  </w:num>
  <w:num w:numId="9">
    <w:abstractNumId w:val="8"/>
  </w:num>
  <w:num w:numId="10">
    <w:abstractNumId w:val="20"/>
  </w:num>
  <w:num w:numId="11">
    <w:abstractNumId w:val="6"/>
  </w:num>
  <w:num w:numId="12">
    <w:abstractNumId w:val="0"/>
  </w:num>
  <w:num w:numId="13">
    <w:abstractNumId w:val="16"/>
  </w:num>
  <w:num w:numId="14">
    <w:abstractNumId w:val="18"/>
  </w:num>
  <w:num w:numId="15">
    <w:abstractNumId w:val="13"/>
  </w:num>
  <w:num w:numId="16">
    <w:abstractNumId w:val="3"/>
  </w:num>
  <w:num w:numId="17">
    <w:abstractNumId w:val="17"/>
  </w:num>
  <w:num w:numId="18">
    <w:abstractNumId w:val="9"/>
  </w:num>
  <w:num w:numId="19">
    <w:abstractNumId w:val="14"/>
  </w:num>
  <w:num w:numId="20">
    <w:abstractNumId w:val="4"/>
  </w:num>
  <w:num w:numId="21">
    <w:abstractNumId w:val="2"/>
  </w:num>
  <w:num w:numId="22">
    <w:abstractNumId w:val="15"/>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63"/>
    <w:rsid w:val="0001330F"/>
    <w:rsid w:val="00013C18"/>
    <w:rsid w:val="00013D3E"/>
    <w:rsid w:val="00026DEC"/>
    <w:rsid w:val="0003369C"/>
    <w:rsid w:val="00051AFB"/>
    <w:rsid w:val="00051C54"/>
    <w:rsid w:val="00054E7A"/>
    <w:rsid w:val="00063851"/>
    <w:rsid w:val="000672D2"/>
    <w:rsid w:val="00082769"/>
    <w:rsid w:val="000908C7"/>
    <w:rsid w:val="000925CC"/>
    <w:rsid w:val="00092C63"/>
    <w:rsid w:val="000A1D3B"/>
    <w:rsid w:val="000A49A7"/>
    <w:rsid w:val="000B3477"/>
    <w:rsid w:val="000C1C06"/>
    <w:rsid w:val="000D1B55"/>
    <w:rsid w:val="000D7472"/>
    <w:rsid w:val="000E67B3"/>
    <w:rsid w:val="000F04BA"/>
    <w:rsid w:val="000F5227"/>
    <w:rsid w:val="00101F5A"/>
    <w:rsid w:val="00102202"/>
    <w:rsid w:val="00104DB4"/>
    <w:rsid w:val="00105706"/>
    <w:rsid w:val="0011227A"/>
    <w:rsid w:val="0011279E"/>
    <w:rsid w:val="00114AB4"/>
    <w:rsid w:val="00120BDC"/>
    <w:rsid w:val="00121446"/>
    <w:rsid w:val="00130B85"/>
    <w:rsid w:val="001327E6"/>
    <w:rsid w:val="001355AE"/>
    <w:rsid w:val="0014159B"/>
    <w:rsid w:val="00143D68"/>
    <w:rsid w:val="001474CD"/>
    <w:rsid w:val="00156D4A"/>
    <w:rsid w:val="0016234D"/>
    <w:rsid w:val="001705DB"/>
    <w:rsid w:val="00177C8E"/>
    <w:rsid w:val="00177CB3"/>
    <w:rsid w:val="00181768"/>
    <w:rsid w:val="0018187A"/>
    <w:rsid w:val="001902D7"/>
    <w:rsid w:val="0019271F"/>
    <w:rsid w:val="0019366B"/>
    <w:rsid w:val="0019536B"/>
    <w:rsid w:val="001A17D4"/>
    <w:rsid w:val="001B2FE4"/>
    <w:rsid w:val="001B5335"/>
    <w:rsid w:val="001D022B"/>
    <w:rsid w:val="001D118C"/>
    <w:rsid w:val="001D20F2"/>
    <w:rsid w:val="001D272E"/>
    <w:rsid w:val="001D440E"/>
    <w:rsid w:val="001D567B"/>
    <w:rsid w:val="001D7854"/>
    <w:rsid w:val="001E6B3F"/>
    <w:rsid w:val="001F1721"/>
    <w:rsid w:val="001F35F2"/>
    <w:rsid w:val="001F5BD3"/>
    <w:rsid w:val="001F692F"/>
    <w:rsid w:val="00200D01"/>
    <w:rsid w:val="0020731F"/>
    <w:rsid w:val="00210D70"/>
    <w:rsid w:val="00212EBD"/>
    <w:rsid w:val="00214A35"/>
    <w:rsid w:val="00216DEB"/>
    <w:rsid w:val="00221052"/>
    <w:rsid w:val="00223A69"/>
    <w:rsid w:val="0023424F"/>
    <w:rsid w:val="002504AB"/>
    <w:rsid w:val="002505DE"/>
    <w:rsid w:val="00250D36"/>
    <w:rsid w:val="00252589"/>
    <w:rsid w:val="002620FB"/>
    <w:rsid w:val="00265475"/>
    <w:rsid w:val="00280D84"/>
    <w:rsid w:val="0028108F"/>
    <w:rsid w:val="00286A79"/>
    <w:rsid w:val="00290602"/>
    <w:rsid w:val="0029062B"/>
    <w:rsid w:val="002A74A3"/>
    <w:rsid w:val="002B5233"/>
    <w:rsid w:val="002B79FC"/>
    <w:rsid w:val="002C3F85"/>
    <w:rsid w:val="002E1203"/>
    <w:rsid w:val="002E5C37"/>
    <w:rsid w:val="002F1609"/>
    <w:rsid w:val="002F39F2"/>
    <w:rsid w:val="002F5894"/>
    <w:rsid w:val="002F67A2"/>
    <w:rsid w:val="002F6BE6"/>
    <w:rsid w:val="002F7A56"/>
    <w:rsid w:val="00312F11"/>
    <w:rsid w:val="0032083A"/>
    <w:rsid w:val="00321410"/>
    <w:rsid w:val="00330A90"/>
    <w:rsid w:val="00334268"/>
    <w:rsid w:val="00337A09"/>
    <w:rsid w:val="00340EC7"/>
    <w:rsid w:val="003468A0"/>
    <w:rsid w:val="003475A9"/>
    <w:rsid w:val="00355D8E"/>
    <w:rsid w:val="00360E30"/>
    <w:rsid w:val="0036703C"/>
    <w:rsid w:val="00367744"/>
    <w:rsid w:val="003704C6"/>
    <w:rsid w:val="00373925"/>
    <w:rsid w:val="00390657"/>
    <w:rsid w:val="003947CD"/>
    <w:rsid w:val="003967FE"/>
    <w:rsid w:val="003A3843"/>
    <w:rsid w:val="003B28D5"/>
    <w:rsid w:val="003B6541"/>
    <w:rsid w:val="003B72FA"/>
    <w:rsid w:val="003C1FCA"/>
    <w:rsid w:val="003C2BEA"/>
    <w:rsid w:val="003D78A6"/>
    <w:rsid w:val="003E2CBF"/>
    <w:rsid w:val="003E6148"/>
    <w:rsid w:val="003E7B6F"/>
    <w:rsid w:val="003F5BBA"/>
    <w:rsid w:val="003F693D"/>
    <w:rsid w:val="00401876"/>
    <w:rsid w:val="00402066"/>
    <w:rsid w:val="00402A56"/>
    <w:rsid w:val="0040365D"/>
    <w:rsid w:val="00415E13"/>
    <w:rsid w:val="00423D53"/>
    <w:rsid w:val="00432E47"/>
    <w:rsid w:val="00433DEC"/>
    <w:rsid w:val="004411ED"/>
    <w:rsid w:val="004423C1"/>
    <w:rsid w:val="00453AA8"/>
    <w:rsid w:val="00454917"/>
    <w:rsid w:val="00457869"/>
    <w:rsid w:val="00464E47"/>
    <w:rsid w:val="004736E8"/>
    <w:rsid w:val="004754B9"/>
    <w:rsid w:val="0047734F"/>
    <w:rsid w:val="00482DE8"/>
    <w:rsid w:val="004A4ACA"/>
    <w:rsid w:val="004B5BC4"/>
    <w:rsid w:val="004B6197"/>
    <w:rsid w:val="004C37E8"/>
    <w:rsid w:val="004C6FE4"/>
    <w:rsid w:val="004D75D6"/>
    <w:rsid w:val="004E4042"/>
    <w:rsid w:val="004E4D30"/>
    <w:rsid w:val="004E6AC4"/>
    <w:rsid w:val="004F0DEF"/>
    <w:rsid w:val="004F4472"/>
    <w:rsid w:val="00500C43"/>
    <w:rsid w:val="00502F8E"/>
    <w:rsid w:val="00502FB2"/>
    <w:rsid w:val="00504E64"/>
    <w:rsid w:val="005056D0"/>
    <w:rsid w:val="005116AF"/>
    <w:rsid w:val="00514906"/>
    <w:rsid w:val="00522064"/>
    <w:rsid w:val="0053101C"/>
    <w:rsid w:val="005347DB"/>
    <w:rsid w:val="0054177D"/>
    <w:rsid w:val="00542A95"/>
    <w:rsid w:val="00552ABD"/>
    <w:rsid w:val="005651CA"/>
    <w:rsid w:val="00565802"/>
    <w:rsid w:val="00567815"/>
    <w:rsid w:val="00571D50"/>
    <w:rsid w:val="00574029"/>
    <w:rsid w:val="005745EE"/>
    <w:rsid w:val="0057593C"/>
    <w:rsid w:val="00580867"/>
    <w:rsid w:val="0059360D"/>
    <w:rsid w:val="005A24E1"/>
    <w:rsid w:val="005A3016"/>
    <w:rsid w:val="005A3022"/>
    <w:rsid w:val="005B7164"/>
    <w:rsid w:val="005C07C2"/>
    <w:rsid w:val="005C3970"/>
    <w:rsid w:val="005C3CCE"/>
    <w:rsid w:val="005D22DD"/>
    <w:rsid w:val="005D2BEF"/>
    <w:rsid w:val="005D6177"/>
    <w:rsid w:val="005E0131"/>
    <w:rsid w:val="005F1F7B"/>
    <w:rsid w:val="0060087D"/>
    <w:rsid w:val="00600EE3"/>
    <w:rsid w:val="00601E0A"/>
    <w:rsid w:val="00603A7E"/>
    <w:rsid w:val="006063AA"/>
    <w:rsid w:val="00612B1E"/>
    <w:rsid w:val="00613FE0"/>
    <w:rsid w:val="006209F5"/>
    <w:rsid w:val="006307E2"/>
    <w:rsid w:val="00633601"/>
    <w:rsid w:val="00641A5E"/>
    <w:rsid w:val="00645527"/>
    <w:rsid w:val="006524EF"/>
    <w:rsid w:val="00652DEF"/>
    <w:rsid w:val="006530AB"/>
    <w:rsid w:val="00657186"/>
    <w:rsid w:val="00657FBE"/>
    <w:rsid w:val="006747E5"/>
    <w:rsid w:val="00677485"/>
    <w:rsid w:val="0068181C"/>
    <w:rsid w:val="006818CF"/>
    <w:rsid w:val="006B2DD0"/>
    <w:rsid w:val="006B3AFD"/>
    <w:rsid w:val="006B470B"/>
    <w:rsid w:val="006B5EDF"/>
    <w:rsid w:val="006C0D66"/>
    <w:rsid w:val="006C739C"/>
    <w:rsid w:val="006E08FE"/>
    <w:rsid w:val="006E1A4C"/>
    <w:rsid w:val="006E3B11"/>
    <w:rsid w:val="006E625A"/>
    <w:rsid w:val="006E78F3"/>
    <w:rsid w:val="00702AD8"/>
    <w:rsid w:val="00710AF9"/>
    <w:rsid w:val="00711D90"/>
    <w:rsid w:val="00713F8D"/>
    <w:rsid w:val="00715033"/>
    <w:rsid w:val="00715AA3"/>
    <w:rsid w:val="00722F9A"/>
    <w:rsid w:val="00723C6B"/>
    <w:rsid w:val="0072554F"/>
    <w:rsid w:val="0074083F"/>
    <w:rsid w:val="007425C8"/>
    <w:rsid w:val="00746134"/>
    <w:rsid w:val="00750696"/>
    <w:rsid w:val="007512D5"/>
    <w:rsid w:val="00753FF4"/>
    <w:rsid w:val="00754F50"/>
    <w:rsid w:val="00762EBD"/>
    <w:rsid w:val="00771D05"/>
    <w:rsid w:val="007721EE"/>
    <w:rsid w:val="00774AFC"/>
    <w:rsid w:val="00781270"/>
    <w:rsid w:val="007844DC"/>
    <w:rsid w:val="007861E1"/>
    <w:rsid w:val="00786AFF"/>
    <w:rsid w:val="00790A5C"/>
    <w:rsid w:val="0079104A"/>
    <w:rsid w:val="00795625"/>
    <w:rsid w:val="007979A3"/>
    <w:rsid w:val="007A79D2"/>
    <w:rsid w:val="007B57B5"/>
    <w:rsid w:val="007B6FBA"/>
    <w:rsid w:val="007C011D"/>
    <w:rsid w:val="007D538F"/>
    <w:rsid w:val="007D7F7C"/>
    <w:rsid w:val="007E5F63"/>
    <w:rsid w:val="007E6913"/>
    <w:rsid w:val="007F252D"/>
    <w:rsid w:val="007F4C67"/>
    <w:rsid w:val="00807E98"/>
    <w:rsid w:val="00816A7A"/>
    <w:rsid w:val="00820B20"/>
    <w:rsid w:val="008229EF"/>
    <w:rsid w:val="0082678B"/>
    <w:rsid w:val="008408ED"/>
    <w:rsid w:val="00841F4A"/>
    <w:rsid w:val="00846F63"/>
    <w:rsid w:val="008514B2"/>
    <w:rsid w:val="0085662C"/>
    <w:rsid w:val="008617FF"/>
    <w:rsid w:val="008658BE"/>
    <w:rsid w:val="008805F0"/>
    <w:rsid w:val="00883EBE"/>
    <w:rsid w:val="00895CE4"/>
    <w:rsid w:val="00896E4E"/>
    <w:rsid w:val="008B0321"/>
    <w:rsid w:val="008C1DF7"/>
    <w:rsid w:val="008C7B1B"/>
    <w:rsid w:val="008E1DA3"/>
    <w:rsid w:val="008E2D19"/>
    <w:rsid w:val="008F1F60"/>
    <w:rsid w:val="008F593F"/>
    <w:rsid w:val="0091205E"/>
    <w:rsid w:val="009124AD"/>
    <w:rsid w:val="00912F7F"/>
    <w:rsid w:val="00914A1B"/>
    <w:rsid w:val="0091662E"/>
    <w:rsid w:val="00921C21"/>
    <w:rsid w:val="00922F2D"/>
    <w:rsid w:val="00926867"/>
    <w:rsid w:val="00933427"/>
    <w:rsid w:val="00934AEA"/>
    <w:rsid w:val="0093692B"/>
    <w:rsid w:val="0094268A"/>
    <w:rsid w:val="00945531"/>
    <w:rsid w:val="00946601"/>
    <w:rsid w:val="00951FE5"/>
    <w:rsid w:val="00956922"/>
    <w:rsid w:val="00957E20"/>
    <w:rsid w:val="009652FF"/>
    <w:rsid w:val="00967098"/>
    <w:rsid w:val="00981257"/>
    <w:rsid w:val="009A57DD"/>
    <w:rsid w:val="009A72E7"/>
    <w:rsid w:val="009C40C0"/>
    <w:rsid w:val="009D036E"/>
    <w:rsid w:val="009D0461"/>
    <w:rsid w:val="009E6214"/>
    <w:rsid w:val="009F2950"/>
    <w:rsid w:val="009F6C7B"/>
    <w:rsid w:val="00A0731C"/>
    <w:rsid w:val="00A07369"/>
    <w:rsid w:val="00A10A5A"/>
    <w:rsid w:val="00A20F56"/>
    <w:rsid w:val="00A27163"/>
    <w:rsid w:val="00A319D9"/>
    <w:rsid w:val="00A34BB6"/>
    <w:rsid w:val="00A3665A"/>
    <w:rsid w:val="00A369AF"/>
    <w:rsid w:val="00A4113A"/>
    <w:rsid w:val="00A445D6"/>
    <w:rsid w:val="00A56759"/>
    <w:rsid w:val="00A62687"/>
    <w:rsid w:val="00A6782D"/>
    <w:rsid w:val="00A73C37"/>
    <w:rsid w:val="00A73C88"/>
    <w:rsid w:val="00A81E09"/>
    <w:rsid w:val="00A83F30"/>
    <w:rsid w:val="00A84DE7"/>
    <w:rsid w:val="00A8533E"/>
    <w:rsid w:val="00A85A6B"/>
    <w:rsid w:val="00A87E35"/>
    <w:rsid w:val="00A91DBE"/>
    <w:rsid w:val="00A92465"/>
    <w:rsid w:val="00AA08D4"/>
    <w:rsid w:val="00AB063B"/>
    <w:rsid w:val="00AB2114"/>
    <w:rsid w:val="00AB4B8A"/>
    <w:rsid w:val="00AC079F"/>
    <w:rsid w:val="00AC0E0F"/>
    <w:rsid w:val="00AC6392"/>
    <w:rsid w:val="00AC679D"/>
    <w:rsid w:val="00AD2CE4"/>
    <w:rsid w:val="00AD34C9"/>
    <w:rsid w:val="00AD4A4F"/>
    <w:rsid w:val="00AD7176"/>
    <w:rsid w:val="00AE2A15"/>
    <w:rsid w:val="00AE4035"/>
    <w:rsid w:val="00AE4124"/>
    <w:rsid w:val="00AE53CF"/>
    <w:rsid w:val="00AF01CF"/>
    <w:rsid w:val="00AF0982"/>
    <w:rsid w:val="00AF0A64"/>
    <w:rsid w:val="00B12C55"/>
    <w:rsid w:val="00B1702D"/>
    <w:rsid w:val="00B17B15"/>
    <w:rsid w:val="00B23FE4"/>
    <w:rsid w:val="00B32882"/>
    <w:rsid w:val="00B339A2"/>
    <w:rsid w:val="00B378A4"/>
    <w:rsid w:val="00B3798C"/>
    <w:rsid w:val="00B5081C"/>
    <w:rsid w:val="00B53ECB"/>
    <w:rsid w:val="00B56502"/>
    <w:rsid w:val="00B615EF"/>
    <w:rsid w:val="00B62140"/>
    <w:rsid w:val="00B84367"/>
    <w:rsid w:val="00B8493C"/>
    <w:rsid w:val="00B92028"/>
    <w:rsid w:val="00BA364D"/>
    <w:rsid w:val="00BB3C4E"/>
    <w:rsid w:val="00BD0E3A"/>
    <w:rsid w:val="00BD7D15"/>
    <w:rsid w:val="00BF5B7B"/>
    <w:rsid w:val="00BF70EB"/>
    <w:rsid w:val="00C029C4"/>
    <w:rsid w:val="00C13AAF"/>
    <w:rsid w:val="00C32E4F"/>
    <w:rsid w:val="00C469C8"/>
    <w:rsid w:val="00C56F3A"/>
    <w:rsid w:val="00C71F61"/>
    <w:rsid w:val="00C72F26"/>
    <w:rsid w:val="00C75699"/>
    <w:rsid w:val="00C77876"/>
    <w:rsid w:val="00C96824"/>
    <w:rsid w:val="00CA6EE8"/>
    <w:rsid w:val="00CA7D75"/>
    <w:rsid w:val="00CB1776"/>
    <w:rsid w:val="00CB5EB7"/>
    <w:rsid w:val="00CC0CEE"/>
    <w:rsid w:val="00CD57F5"/>
    <w:rsid w:val="00CD6027"/>
    <w:rsid w:val="00CD74D8"/>
    <w:rsid w:val="00CE0CD2"/>
    <w:rsid w:val="00CE2BAB"/>
    <w:rsid w:val="00CF4130"/>
    <w:rsid w:val="00CF7215"/>
    <w:rsid w:val="00D00789"/>
    <w:rsid w:val="00D06459"/>
    <w:rsid w:val="00D07E8F"/>
    <w:rsid w:val="00D12B78"/>
    <w:rsid w:val="00D14B25"/>
    <w:rsid w:val="00D14CB5"/>
    <w:rsid w:val="00D1748E"/>
    <w:rsid w:val="00D17DA0"/>
    <w:rsid w:val="00D20A29"/>
    <w:rsid w:val="00D20D0C"/>
    <w:rsid w:val="00D25E1F"/>
    <w:rsid w:val="00D26030"/>
    <w:rsid w:val="00D30E73"/>
    <w:rsid w:val="00D32C46"/>
    <w:rsid w:val="00D40551"/>
    <w:rsid w:val="00D45598"/>
    <w:rsid w:val="00D462A9"/>
    <w:rsid w:val="00D53A8B"/>
    <w:rsid w:val="00D622D9"/>
    <w:rsid w:val="00D633CB"/>
    <w:rsid w:val="00D7366D"/>
    <w:rsid w:val="00D95AAF"/>
    <w:rsid w:val="00D9694C"/>
    <w:rsid w:val="00D9752E"/>
    <w:rsid w:val="00DA5D6A"/>
    <w:rsid w:val="00DA7F15"/>
    <w:rsid w:val="00DB3708"/>
    <w:rsid w:val="00DB3D8C"/>
    <w:rsid w:val="00DB5BF3"/>
    <w:rsid w:val="00DD2DFE"/>
    <w:rsid w:val="00DE48C5"/>
    <w:rsid w:val="00DF31CF"/>
    <w:rsid w:val="00E0068A"/>
    <w:rsid w:val="00E254C7"/>
    <w:rsid w:val="00E26C56"/>
    <w:rsid w:val="00E26CF4"/>
    <w:rsid w:val="00E27E88"/>
    <w:rsid w:val="00E36409"/>
    <w:rsid w:val="00E43579"/>
    <w:rsid w:val="00E516A0"/>
    <w:rsid w:val="00E57028"/>
    <w:rsid w:val="00E61BF6"/>
    <w:rsid w:val="00E67412"/>
    <w:rsid w:val="00E70E7C"/>
    <w:rsid w:val="00E822C9"/>
    <w:rsid w:val="00E96479"/>
    <w:rsid w:val="00EA5E47"/>
    <w:rsid w:val="00EB308A"/>
    <w:rsid w:val="00EB347F"/>
    <w:rsid w:val="00EB4B2F"/>
    <w:rsid w:val="00EB4C14"/>
    <w:rsid w:val="00EC009D"/>
    <w:rsid w:val="00ED2F45"/>
    <w:rsid w:val="00ED460C"/>
    <w:rsid w:val="00EE0A83"/>
    <w:rsid w:val="00EE0DE9"/>
    <w:rsid w:val="00EE2190"/>
    <w:rsid w:val="00EE40DF"/>
    <w:rsid w:val="00EF123E"/>
    <w:rsid w:val="00EF796E"/>
    <w:rsid w:val="00F120EE"/>
    <w:rsid w:val="00F1648A"/>
    <w:rsid w:val="00F30068"/>
    <w:rsid w:val="00F35987"/>
    <w:rsid w:val="00F35E95"/>
    <w:rsid w:val="00F40F44"/>
    <w:rsid w:val="00F441BF"/>
    <w:rsid w:val="00F60996"/>
    <w:rsid w:val="00F63B1F"/>
    <w:rsid w:val="00F6405B"/>
    <w:rsid w:val="00F6471F"/>
    <w:rsid w:val="00F679BD"/>
    <w:rsid w:val="00F715EA"/>
    <w:rsid w:val="00F71B5D"/>
    <w:rsid w:val="00F73DF6"/>
    <w:rsid w:val="00F839EE"/>
    <w:rsid w:val="00F93DC3"/>
    <w:rsid w:val="00F9545C"/>
    <w:rsid w:val="00FA1352"/>
    <w:rsid w:val="00FD3CF4"/>
    <w:rsid w:val="00FD6EEE"/>
    <w:rsid w:val="00FE0E12"/>
    <w:rsid w:val="00FF0E19"/>
    <w:rsid w:val="00FF27FA"/>
    <w:rsid w:val="00FF3C2F"/>
    <w:rsid w:val="00FF4163"/>
    <w:rsid w:val="023B950E"/>
    <w:rsid w:val="033F0DBD"/>
    <w:rsid w:val="037B80A9"/>
    <w:rsid w:val="0508A5E9"/>
    <w:rsid w:val="05D757E5"/>
    <w:rsid w:val="075903CA"/>
    <w:rsid w:val="084769E8"/>
    <w:rsid w:val="085C3B2C"/>
    <w:rsid w:val="08A9B1E7"/>
    <w:rsid w:val="0A4B1625"/>
    <w:rsid w:val="0A7B08FF"/>
    <w:rsid w:val="0AECCA9F"/>
    <w:rsid w:val="0B8E7F19"/>
    <w:rsid w:val="0BBB7C9B"/>
    <w:rsid w:val="0BF7EF87"/>
    <w:rsid w:val="0C24ED09"/>
    <w:rsid w:val="0E17D8BC"/>
    <w:rsid w:val="0EEA01E2"/>
    <w:rsid w:val="0F01FB4F"/>
    <w:rsid w:val="0FED6C15"/>
    <w:rsid w:val="0FEECCDB"/>
    <w:rsid w:val="11C742F9"/>
    <w:rsid w:val="11F40DAA"/>
    <w:rsid w:val="12044C62"/>
    <w:rsid w:val="12F777DD"/>
    <w:rsid w:val="13B5EB21"/>
    <w:rsid w:val="14E62005"/>
    <w:rsid w:val="15E98A38"/>
    <w:rsid w:val="17C3611C"/>
    <w:rsid w:val="1903D4B8"/>
    <w:rsid w:val="19C247FC"/>
    <w:rsid w:val="1B0AB2F5"/>
    <w:rsid w:val="1BE115CF"/>
    <w:rsid w:val="1E5127D2"/>
    <w:rsid w:val="216BD496"/>
    <w:rsid w:val="2211EC29"/>
    <w:rsid w:val="22C1817B"/>
    <w:rsid w:val="22D05F6D"/>
    <w:rsid w:val="245D84AD"/>
    <w:rsid w:val="24E04F33"/>
    <w:rsid w:val="25C271C8"/>
    <w:rsid w:val="26CD96B0"/>
    <w:rsid w:val="279C48AC"/>
    <w:rsid w:val="28CC7D90"/>
    <w:rsid w:val="29296DEC"/>
    <w:rsid w:val="296E64DB"/>
    <w:rsid w:val="2AAB19D1"/>
    <w:rsid w:val="2B3DF059"/>
    <w:rsid w:val="2B997FEF"/>
    <w:rsid w:val="2C1B8047"/>
    <w:rsid w:val="2D0D07B0"/>
    <w:rsid w:val="2E3A4E1A"/>
    <w:rsid w:val="2E8B924A"/>
    <w:rsid w:val="2EE09520"/>
    <w:rsid w:val="2F4A058E"/>
    <w:rsid w:val="2F770310"/>
    <w:rsid w:val="30E76986"/>
    <w:rsid w:val="31A5DCCA"/>
    <w:rsid w:val="31D2A77B"/>
    <w:rsid w:val="331FD4F2"/>
    <w:rsid w:val="333F821C"/>
    <w:rsid w:val="333FB4ED"/>
    <w:rsid w:val="3457F064"/>
    <w:rsid w:val="35195900"/>
    <w:rsid w:val="3731E57F"/>
    <w:rsid w:val="378EF9AE"/>
    <w:rsid w:val="3926CEFB"/>
    <w:rsid w:val="393BA03F"/>
    <w:rsid w:val="39FA1383"/>
    <w:rsid w:val="3EF2FA44"/>
    <w:rsid w:val="404B674D"/>
    <w:rsid w:val="407FAF12"/>
    <w:rsid w:val="40B4D7BB"/>
    <w:rsid w:val="41C8C04F"/>
    <w:rsid w:val="4448D161"/>
    <w:rsid w:val="454052FA"/>
    <w:rsid w:val="4580C0FA"/>
    <w:rsid w:val="46227574"/>
    <w:rsid w:val="46D8D437"/>
    <w:rsid w:val="485DCF40"/>
    <w:rsid w:val="485E0211"/>
    <w:rsid w:val="48CAFE54"/>
    <w:rsid w:val="49597EBE"/>
    <w:rsid w:val="4AEE5EB3"/>
    <w:rsid w:val="4B2316EA"/>
    <w:rsid w:val="4B37E82E"/>
    <w:rsid w:val="4B50146C"/>
    <w:rsid w:val="4B7819C0"/>
    <w:rsid w:val="4BACD1F7"/>
    <w:rsid w:val="4C069A2A"/>
    <w:rsid w:val="4C78D89D"/>
    <w:rsid w:val="4D66C1E8"/>
    <w:rsid w:val="4DBCC1D8"/>
    <w:rsid w:val="4DE0710E"/>
    <w:rsid w:val="4EAF230A"/>
    <w:rsid w:val="4ED4FD4F"/>
    <w:rsid w:val="501BFDAB"/>
    <w:rsid w:val="50EF4233"/>
    <w:rsid w:val="51C5AEE4"/>
    <w:rsid w:val="5205E076"/>
    <w:rsid w:val="5232AB27"/>
    <w:rsid w:val="52C91917"/>
    <w:rsid w:val="531E1BED"/>
    <w:rsid w:val="536026D5"/>
    <w:rsid w:val="539F85C8"/>
    <w:rsid w:val="54397F8D"/>
    <w:rsid w:val="5524BD82"/>
    <w:rsid w:val="56135671"/>
    <w:rsid w:val="56A1D6DB"/>
    <w:rsid w:val="56A99190"/>
    <w:rsid w:val="56BE95A5"/>
    <w:rsid w:val="572B91E8"/>
    <w:rsid w:val="578DEAD9"/>
    <w:rsid w:val="582EFC1B"/>
    <w:rsid w:val="587BADBF"/>
    <w:rsid w:val="5A0D658B"/>
    <w:rsid w:val="5AA66F07"/>
    <w:rsid w:val="5ADC1787"/>
    <w:rsid w:val="5C2C335E"/>
    <w:rsid w:val="5C306143"/>
    <w:rsid w:val="5E060A42"/>
    <w:rsid w:val="5E678D2A"/>
    <w:rsid w:val="5E808D91"/>
    <w:rsid w:val="5F52FDF0"/>
    <w:rsid w:val="5FA800C6"/>
    <w:rsid w:val="612E359A"/>
    <w:rsid w:val="61D94648"/>
    <w:rsid w:val="6406EDC2"/>
    <w:rsid w:val="64F553E0"/>
    <w:rsid w:val="65C405DC"/>
    <w:rsid w:val="66F9001D"/>
    <w:rsid w:val="68696693"/>
    <w:rsid w:val="68926901"/>
    <w:rsid w:val="68D2D701"/>
    <w:rsid w:val="6902C9DB"/>
    <w:rsid w:val="69A943B2"/>
    <w:rsid w:val="6B7FF26D"/>
    <w:rsid w:val="6BAFE547"/>
    <w:rsid w:val="6C669DD6"/>
    <w:rsid w:val="6DB1D294"/>
    <w:rsid w:val="6E4074BA"/>
    <w:rsid w:val="6E4B0AEF"/>
    <w:rsid w:val="6E752CF1"/>
    <w:rsid w:val="6EBA23E0"/>
    <w:rsid w:val="6F58B031"/>
    <w:rsid w:val="6FD29228"/>
    <w:rsid w:val="70FDCEDE"/>
    <w:rsid w:val="710ED7DF"/>
    <w:rsid w:val="7235F148"/>
    <w:rsid w:val="72977430"/>
    <w:rsid w:val="7400EA3A"/>
    <w:rsid w:val="7517C4EB"/>
    <w:rsid w:val="75B1BEB0"/>
    <w:rsid w:val="761B2F1E"/>
    <w:rsid w:val="778B9594"/>
    <w:rsid w:val="798B46BD"/>
    <w:rsid w:val="7A10ABAC"/>
    <w:rsid w:val="7A6D6937"/>
    <w:rsid w:val="7C7D5918"/>
    <w:rsid w:val="7C8C370A"/>
    <w:rsid w:val="7F7E4965"/>
    <w:rsid w:val="7FCAF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E998"/>
  <w15:docId w15:val="{82C4E1E7-5FC6-4ABF-B7DE-BE05B88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pPr>
  </w:style>
  <w:style w:type="paragraph" w:styleId="ListParagraph">
    <w:name w:val="List Paragraph"/>
    <w:basedOn w:val="Normal"/>
    <w:uiPriority w:val="34"/>
    <w:qFormat/>
    <w:pPr>
      <w:numPr>
        <w:numId w:val="8"/>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pPr>
  </w:style>
  <w:style w:type="paragraph" w:customStyle="1" w:styleId="DfESOutNumbered">
    <w:name w:val="DfESOutNumbered"/>
    <w:basedOn w:val="Normal"/>
    <w:pPr>
      <w:widowControl w:val="0"/>
      <w:numPr>
        <w:numId w:val="9"/>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table" w:styleId="TableGrid">
    <w:name w:val="Table Grid"/>
    <w:basedOn w:val="TableNormal"/>
    <w:uiPriority w:val="59"/>
    <w:rsid w:val="00C7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0DEF"/>
    <w:pPr>
      <w:autoSpaceDN/>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urfp.org/reading-for-pleasure-pedago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3" ma:contentTypeDescription="Create a new document." ma:contentTypeScope="" ma:versionID="f674b0e0b2bafd7ad5713bacb22b9732">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14f163843559c6fb615a271182b09bee"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B471A-3E3B-4035-BF66-D362498C0983}">
  <ds:schemaRefs>
    <ds:schemaRef ds:uri="http://schemas.microsoft.com/sharepoint/v3/contenttype/forms"/>
  </ds:schemaRefs>
</ds:datastoreItem>
</file>

<file path=customXml/itemProps2.xml><?xml version="1.0" encoding="utf-8"?>
<ds:datastoreItem xmlns:ds="http://schemas.openxmlformats.org/officeDocument/2006/customXml" ds:itemID="{CB4FF64B-32B4-4247-B7F1-43682097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FF957-35D8-4C4C-9CB5-A27AD182C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2452</Words>
  <Characters>13980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16400</CharactersWithSpaces>
  <SharedDoc>false</SharedDoc>
  <HLinks>
    <vt:vector size="6" baseType="variant">
      <vt:variant>
        <vt:i4>5701639</vt:i4>
      </vt:variant>
      <vt:variant>
        <vt:i4>0</vt:i4>
      </vt:variant>
      <vt:variant>
        <vt:i4>0</vt:i4>
      </vt:variant>
      <vt:variant>
        <vt:i4>5</vt:i4>
      </vt:variant>
      <vt:variant>
        <vt:lpwstr>https://ourfp.org/reading-for-pleasure-pedagogy/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Jennifer Keenan</cp:lastModifiedBy>
  <cp:revision>228</cp:revision>
  <cp:lastPrinted>2021-11-17T15:48:00Z</cp:lastPrinted>
  <dcterms:created xsi:type="dcterms:W3CDTF">2021-11-17T12:29:00Z</dcterms:created>
  <dcterms:modified xsi:type="dcterms:W3CDTF">2021-11-17T20:08:00Z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0x010100917D171B56074344A2284E8B3949134A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